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574FCD">
            <w:r>
              <w:t>6 (*3)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1D7F79">
            <w:r>
              <w:t xml:space="preserve">Experto </w:t>
            </w:r>
            <w:r w:rsidR="00574FCD">
              <w:t>en Derecho Procesal</w:t>
            </w:r>
          </w:p>
          <w:p w:rsidR="001D7F79" w:rsidRDefault="001D7F79">
            <w:r>
              <w:t>Experiencia investigadora</w:t>
            </w:r>
            <w:r w:rsidR="00574FCD">
              <w:t>: Tres sexenios de investigación vivos, los máximos posibles atendida la antigüedad.</w:t>
            </w:r>
          </w:p>
          <w:p w:rsidR="001D7F79" w:rsidRDefault="001D7F79">
            <w:r>
              <w:t>Experiencia docente</w:t>
            </w:r>
            <w:r w:rsidR="00574FCD">
              <w:t>: 16 años de antigüedad en la UCM y 6 años de antigüedad previos en la Universidad privada.</w:t>
            </w:r>
          </w:p>
          <w:p w:rsidR="001D7F79" w:rsidRDefault="001D7F79"/>
          <w:p w:rsidR="001D7F79" w:rsidRDefault="001D7F79"/>
          <w:p w:rsidR="001D7F79" w:rsidRDefault="00164B88" w:rsidP="001D7F79">
            <w:r>
              <w:t xml:space="preserve">Se estima una necesidad de 34 </w:t>
            </w:r>
            <w:bookmarkStart w:id="0" w:name="_GoBack"/>
            <w:bookmarkEnd w:id="0"/>
            <w:r w:rsidR="001D7F79"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574FCD">
              <w:t xml:space="preserve"> Derecho procesal civil</w:t>
            </w:r>
          </w:p>
          <w:p w:rsidR="001D7F79" w:rsidRDefault="001D7F79">
            <w:r>
              <w:t>2.</w:t>
            </w:r>
            <w:r w:rsidR="00574FCD">
              <w:t xml:space="preserve"> Derecho procesal penal</w:t>
            </w:r>
          </w:p>
          <w:p w:rsidR="001D7F79" w:rsidRDefault="001D7F79">
            <w:r>
              <w:t>3.</w:t>
            </w:r>
            <w:r w:rsidR="00574FCD">
              <w:t xml:space="preserve"> Derecho procesal de la Unión Europea</w:t>
            </w:r>
          </w:p>
          <w:p w:rsidR="001D7F79" w:rsidRDefault="001D7F79">
            <w:r>
              <w:t>4.</w:t>
            </w:r>
            <w:r w:rsidR="00574FCD">
              <w:t xml:space="preserve"> Organización judicial</w:t>
            </w:r>
          </w:p>
          <w:p w:rsidR="001D7F79" w:rsidRDefault="001D7F79" w:rsidP="00574FCD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 xml:space="preserve">1. </w:t>
            </w:r>
            <w:r w:rsidRPr="001E625B">
              <w:rPr>
                <w:rFonts w:eastAsia="Bookman Old Style" w:cstheme="minorHAnsi"/>
              </w:rPr>
              <w:t xml:space="preserve">Miembro del grupo de investigación </w:t>
            </w:r>
            <w:bookmarkStart w:id="1" w:name="_Hlk2098541"/>
            <w:r w:rsidRPr="001E625B">
              <w:rPr>
                <w:rFonts w:eastAsia="Bookman Old Style" w:cstheme="minorHAnsi"/>
              </w:rPr>
              <w:t xml:space="preserve">del Proyecto Nacional I+D (Ref. SEJ98­0281): </w:t>
            </w:r>
            <w:r w:rsidRPr="001E625B">
              <w:rPr>
                <w:rFonts w:eastAsia="Bookman Old Style" w:cstheme="minorHAnsi"/>
                <w:i/>
              </w:rPr>
              <w:t>El artículo 24 de la Constitución a la luz de la jurisprudencia constitucional</w:t>
            </w:r>
            <w:r w:rsidRPr="001E625B">
              <w:rPr>
                <w:rFonts w:eastAsia="Bookman Old Style" w:cstheme="minorHAnsi"/>
              </w:rPr>
              <w:t>. Investigador Principal: Ignacio Díez-Picazo Giménez. Entidad financiadora: Ministerio de Ciencia y Tecnología Duración: 01/09/1998 a 01/09/2000</w:t>
            </w:r>
            <w:bookmarkEnd w:id="1"/>
            <w:r w:rsidRPr="001E625B">
              <w:rPr>
                <w:rFonts w:eastAsia="Bookman Old Style" w:cstheme="minorHAnsi"/>
              </w:rPr>
              <w:t>. Financiación recibida:  4.025.000 ptas.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2.</w:t>
            </w:r>
            <w:r w:rsidRPr="001E625B">
              <w:rPr>
                <w:rFonts w:eastAsia="Bookman Old Style" w:cstheme="minorHAnsi"/>
              </w:rPr>
              <w:t xml:space="preserve"> Miembro del grupo de investigación del Proyecto Nacional I+D (Ref.</w:t>
            </w:r>
            <w:r w:rsidRPr="001E625B">
              <w:rPr>
                <w:rFonts w:eastAsia="Bookman Old Style" w:cstheme="minorHAnsi"/>
                <w:b/>
              </w:rPr>
              <w:t xml:space="preserve"> </w:t>
            </w:r>
            <w:r w:rsidRPr="001E625B">
              <w:rPr>
                <w:rFonts w:eastAsia="Bookman Old Style" w:cstheme="minorHAnsi"/>
              </w:rPr>
              <w:t xml:space="preserve">SEJ2004-05785/JURI): </w:t>
            </w:r>
            <w:r w:rsidRPr="001E625B">
              <w:rPr>
                <w:rFonts w:eastAsia="Bookman Old Style" w:cstheme="minorHAnsi"/>
                <w:i/>
              </w:rPr>
              <w:t>La Constitución Europea: implicación y efectos en el ordenamiento procesal de los Estados Miembros</w:t>
            </w:r>
            <w:r w:rsidRPr="001E625B">
              <w:rPr>
                <w:rFonts w:eastAsia="Bookman Old Style" w:cstheme="minorHAnsi"/>
              </w:rPr>
              <w:t>”. Investigador Principal: Andrés de la Oliva Santos. Entidad financiadora: Ministerio de Ciencia y Tecnología Duración: 31/12/2004 a 31/12/2007. Financiación recibida:  41.384,00 €.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3.</w:t>
            </w:r>
            <w:r w:rsidRPr="001E625B">
              <w:rPr>
                <w:rFonts w:eastAsia="Bookman Old Style" w:cstheme="minorHAnsi"/>
              </w:rPr>
              <w:t xml:space="preserve"> Miembro del grupo de investigación del Proyecto Nacional I+D </w:t>
            </w:r>
            <w:bookmarkStart w:id="2" w:name="2afmg28" w:colFirst="0" w:colLast="0"/>
            <w:bookmarkEnd w:id="2"/>
            <w:r w:rsidRPr="001E625B">
              <w:rPr>
                <w:rFonts w:eastAsia="Bookman Old Style" w:cstheme="minorHAnsi"/>
              </w:rPr>
              <w:t xml:space="preserve">(Ref. SEJ2005-05719/JURI): </w:t>
            </w:r>
            <w:r w:rsidRPr="001E625B">
              <w:rPr>
                <w:rFonts w:eastAsia="Bookman Old Style" w:cstheme="minorHAnsi"/>
                <w:i/>
              </w:rPr>
              <w:t>“Integración europea y armonización de las garantías fundamentales en el proceso penal</w:t>
            </w:r>
            <w:r w:rsidRPr="001E625B">
              <w:rPr>
                <w:rFonts w:eastAsia="Bookman Old Style" w:cstheme="minorHAnsi"/>
              </w:rPr>
              <w:t>”. Investigadora Principal: Lorena Bachmaier Winter. Entidad financiadora:</w:t>
            </w:r>
            <w:r w:rsidRPr="001E625B">
              <w:rPr>
                <w:rFonts w:eastAsia="Bookman Old Style" w:cstheme="minorHAnsi"/>
                <w:i/>
              </w:rPr>
              <w:t xml:space="preserve"> </w:t>
            </w:r>
            <w:r w:rsidRPr="001E625B">
              <w:rPr>
                <w:rFonts w:eastAsia="Bookman Old Style" w:cstheme="minorHAnsi"/>
              </w:rPr>
              <w:t>Ministerio de Economía y de Competitividad- Duración: 1/1/2005 a 31/12/2007. Financiación recibida: 20.000 €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4.</w:t>
            </w:r>
            <w:r w:rsidRPr="001E625B">
              <w:rPr>
                <w:rFonts w:eastAsia="Bookman Old Style" w:cstheme="minorHAnsi"/>
              </w:rPr>
              <w:t xml:space="preserve"> Miembro del grupo de investigación del Proyecto Nacional I+D (Ref. SEJ 2008-04863/JURI): La construcción de un Derecho Procesal Europeo en el marco del Tratado de Lisboa.  Investigador Principal: Andrés de la Oliva Santos. Entidad financiadora: Ministerio de Ciencia e Innovación. Duración: </w:t>
            </w:r>
            <w:r w:rsidRPr="001E625B">
              <w:rPr>
                <w:rFonts w:eastAsia="Bookman Old Style" w:cstheme="minorHAnsi"/>
              </w:rPr>
              <w:lastRenderedPageBreak/>
              <w:t>01/01/2009 a 30/09/2012. Financiación recibida: 52.500 €.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5.</w:t>
            </w:r>
            <w:r w:rsidRPr="001E625B">
              <w:rPr>
                <w:rFonts w:eastAsia="Bookman Old Style" w:cstheme="minorHAnsi"/>
              </w:rPr>
              <w:t xml:space="preserve">  Miembro del grupo de investigación del </w:t>
            </w:r>
            <w:bookmarkStart w:id="3" w:name="_Hlk1749759"/>
            <w:r w:rsidRPr="001E625B">
              <w:rPr>
                <w:rFonts w:eastAsia="Bookman Old Style" w:cstheme="minorHAnsi"/>
              </w:rPr>
              <w:t>Proyecto Nacional I+D (Ref. SEJ 2008-03457/JURI): Instrumentos de Justicia Restaurativa en el proceso penal español: hacia una regulación de la mediación penal. Investigador principal: Pedro Garciandía González. Entidad financiadora: Secretaría de Estado de Política Científica y Tecnología del Ministerio de Educación y Cultura. Duración: 01/01/2008 a 1/10/2012. Financiación recibida:25.000 €.</w:t>
            </w:r>
          </w:p>
          <w:bookmarkEnd w:id="3"/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6.</w:t>
            </w:r>
            <w:r w:rsidRPr="001E625B">
              <w:rPr>
                <w:rFonts w:eastAsia="Bookman Old Style" w:cstheme="minorHAnsi"/>
              </w:rPr>
              <w:t xml:space="preserve"> Miembro y Coordinadora nacional del Proyecto “European Civil Procedure and e-Justice implementation within the European Union: a planning for its study and difussion among legal practitioners” (Grant agreement nº JLS/2008/JCIV/AG/1008-30-CE-0306633/00-00). Investigador PrIncipal: Andrés de la Oliva Santos. Entidad Financiadora: Comisión Europea. Duración: 01/01/2010 a 31/12/2011. Entidades participantes: Universidad Complutense (Applicant), Universidad Rey Juan Carlos, Universidad de Valladolid, Universidad de Valencia, Universidad CEU-Cardenal Herrera Oria, Universidad de Jaén, Universidad de Almería, Universidad de Granada, y U. de Paris I-La Sorbonne y Paris X-Nanterre, en Francia, y de las Universidades de Bolonia, Brescia, Florencia, Pavía y Urbino, en Italia. Financiación recibida: 451.977,16 €.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bookmarkStart w:id="4" w:name="_pkwqa1" w:colFirst="0" w:colLast="0"/>
            <w:bookmarkStart w:id="5" w:name="_Hlk2102950"/>
            <w:bookmarkEnd w:id="4"/>
            <w:r w:rsidRPr="001E625B">
              <w:rPr>
                <w:rFonts w:eastAsia="Bookman Old Style" w:cstheme="minorHAnsi"/>
                <w:b/>
              </w:rPr>
              <w:t>7.</w:t>
            </w:r>
            <w:r w:rsidRPr="001E625B">
              <w:rPr>
                <w:rFonts w:eastAsia="Bookman Old Style" w:cstheme="minorHAnsi"/>
              </w:rPr>
              <w:t xml:space="preserve"> Miembro del grupo de investigación del Proyecto Nacional I+D «Nuevas tecnologías y derechos fundamentales: posibilidades y límites en el proceso» (Ref. DER2012-3305). Investigadora Principal: Marina Cedeño Hernán. Entidad financiadora: Ministerio de Economía y Competitividad. Duración: 01/01/2012-01/09/2016. Financiación recibida: 18.000 €.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bookmarkStart w:id="6" w:name="_39kk8xu" w:colFirst="0" w:colLast="0"/>
            <w:bookmarkEnd w:id="5"/>
            <w:bookmarkEnd w:id="6"/>
            <w:r w:rsidRPr="001E625B">
              <w:rPr>
                <w:rFonts w:eastAsia="Bookman Old Style" w:cstheme="minorHAnsi"/>
                <w:b/>
              </w:rPr>
              <w:t>8.</w:t>
            </w:r>
            <w:r w:rsidRPr="001E625B">
              <w:rPr>
                <w:rFonts w:eastAsia="Bookman Old Style" w:cstheme="minorHAnsi"/>
              </w:rPr>
              <w:t xml:space="preserve"> Investigadora principal del Proyecto I+D (Retos) «El Tribunal de Justicia de la Unión Europea: su incidencia en la configuración normativa del proceso civil español y en la protección de los derechos fundamentales» (Ref. DER-2016-75567-R). Entidad financiadora: Ministerio de Economía y Competitividad. Duración: 30/12/2016 a 29/12/2019. Financiación recibida: 12.000 €.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bookmarkStart w:id="7" w:name="_1opuj5n" w:colFirst="0" w:colLast="0"/>
            <w:bookmarkEnd w:id="7"/>
            <w:r w:rsidRPr="00950942">
              <w:rPr>
                <w:rFonts w:eastAsia="Bookman Old Style" w:cstheme="minorHAnsi"/>
                <w:b/>
                <w:lang w:val="en-US"/>
              </w:rPr>
              <w:t xml:space="preserve">9. </w:t>
            </w:r>
            <w:r w:rsidRPr="00950942">
              <w:rPr>
                <w:rFonts w:eastAsia="Bookman Old Style" w:cstheme="minorHAnsi"/>
                <w:lang w:val="en-US"/>
              </w:rPr>
              <w:t>Miembro del Proyecto</w:t>
            </w:r>
            <w:r w:rsidRPr="00950942">
              <w:rPr>
                <w:rFonts w:eastAsia="Bookman Old Style" w:cstheme="minorHAnsi"/>
                <w:b/>
                <w:lang w:val="en-US"/>
              </w:rPr>
              <w:t xml:space="preserve"> </w:t>
            </w:r>
            <w:r w:rsidRPr="00950942">
              <w:rPr>
                <w:rFonts w:eastAsia="Bookman Old Style" w:cstheme="minorHAnsi"/>
                <w:i/>
                <w:lang w:val="en-US"/>
              </w:rPr>
              <w:t>Best Practices for european Coordination on investigative measures and evidences</w:t>
            </w:r>
            <w:r w:rsidRPr="00950942">
              <w:rPr>
                <w:rFonts w:eastAsia="Bookman Old Style" w:cstheme="minorHAnsi"/>
                <w:lang w:val="en-US"/>
              </w:rPr>
              <w:t xml:space="preserve"> (JUST-2015-JCOO- AG-CRIM, Ref. 723198). </w:t>
            </w:r>
            <w:r w:rsidRPr="001E625B">
              <w:rPr>
                <w:rFonts w:eastAsia="Bookman Old Style" w:cstheme="minorHAnsi"/>
              </w:rPr>
              <w:t xml:space="preserve">Entidad financiadora: Comisión Europea. Investigadora Principal: Mar Jimeno Bulnes. Duración: 01/12/2016 a 01/03/2019. Entidades participantes: Universidad de Burgos, Universidad Complutense de Madrid, Università degli Studi di Palermo (It) y Universytet Jagiellonsky (Po). Financiación recibida 394.701,00 €. </w:t>
            </w:r>
          </w:p>
          <w:p w:rsidR="001E625B" w:rsidRPr="001E625B" w:rsidRDefault="001E625B" w:rsidP="001E625B">
            <w:pPr>
              <w:shd w:val="clear" w:color="auto" w:fill="FFFFFF"/>
              <w:spacing w:before="120" w:line="288" w:lineRule="auto"/>
              <w:jc w:val="both"/>
              <w:rPr>
                <w:rFonts w:eastAsia="Bookman Old Style" w:cstheme="minorHAnsi"/>
                <w:highlight w:val="white"/>
              </w:rPr>
            </w:pPr>
            <w:bookmarkStart w:id="8" w:name="_48pi1tg" w:colFirst="0" w:colLast="0"/>
            <w:bookmarkEnd w:id="8"/>
            <w:r w:rsidRPr="001E625B">
              <w:rPr>
                <w:rFonts w:eastAsia="Bookman Old Style" w:cstheme="minorHAnsi"/>
                <w:b/>
                <w:highlight w:val="white"/>
              </w:rPr>
              <w:t>10.</w:t>
            </w:r>
            <w:r w:rsidRPr="001E625B">
              <w:rPr>
                <w:rFonts w:eastAsia="Bookman Old Style" w:cstheme="minorHAnsi"/>
                <w:highlight w:val="white"/>
              </w:rPr>
              <w:t xml:space="preserve"> Miembro de la Red temática: “Justicia Civil: análisis y prospectiva” (DER 2016-81752-REDT), Investigadora principal: Carmen Senés Motilla.</w:t>
            </w:r>
            <w:r w:rsidRPr="001E625B">
              <w:rPr>
                <w:rFonts w:eastAsia="Bookman Old Style" w:cstheme="minorHAnsi"/>
              </w:rPr>
              <w:t xml:space="preserve"> Entidad </w:t>
            </w:r>
            <w:r w:rsidRPr="001E625B">
              <w:rPr>
                <w:rFonts w:eastAsia="Bookman Old Style" w:cstheme="minorHAnsi"/>
              </w:rPr>
              <w:lastRenderedPageBreak/>
              <w:t>financiadora: Ministerio de Economía y Competitividad. Duración: 01/07/17 a 30/06/2019.  Financiación recibida: 20.000 €.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11.</w:t>
            </w:r>
            <w:r w:rsidRPr="001E625B">
              <w:rPr>
                <w:rFonts w:eastAsia="Bookman Old Style" w:cstheme="minorHAnsi"/>
              </w:rPr>
              <w:t xml:space="preserve"> Miembro con dedicación exclusiva, desde el 22 de diciembre de 2004, de Grupo de Investigación U.C.M (Ref. 940446). “Problemas actuales de la Justicia y del Proceso”, validado en la convocatoria GR201/04 y dirigido por los Profs. Drs. Fernando Gascón Inchausti y Pilar Peiteado.</w:t>
            </w:r>
          </w:p>
          <w:p w:rsidR="001E625B" w:rsidRPr="001E625B" w:rsidRDefault="001E625B" w:rsidP="001E6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cstheme="minorHAnsi"/>
                <w:color w:val="000000"/>
              </w:rPr>
            </w:pPr>
            <w:r w:rsidRPr="001E625B">
              <w:rPr>
                <w:rFonts w:eastAsia="Bookman Old Style" w:cstheme="minorHAnsi"/>
                <w:color w:val="000000"/>
              </w:rPr>
              <w:t>Convocatoria 2005 (GR45/05), financiado por UCM-Comunidad de Madrid. Importe concedido: 26.760 € (vigencia del 30.12.2005 al 29.12.2006).</w:t>
            </w:r>
          </w:p>
          <w:p w:rsidR="001E625B" w:rsidRPr="001E625B" w:rsidRDefault="001E625B" w:rsidP="001E6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cstheme="minorHAnsi"/>
                <w:color w:val="000000"/>
              </w:rPr>
            </w:pPr>
            <w:r w:rsidRPr="001E625B">
              <w:rPr>
                <w:rFonts w:eastAsia="Bookman Old Style" w:cstheme="minorHAnsi"/>
                <w:color w:val="000000"/>
              </w:rPr>
              <w:t>Convocatoria 2006 (GR69/06), financiado por UCM-Comunidad de Madrid. Importe concedido: 24.000 € (vigencia del 01.01.2007 al 31.12.2007).</w:t>
            </w:r>
          </w:p>
          <w:p w:rsidR="001E625B" w:rsidRPr="001E625B" w:rsidRDefault="001E625B" w:rsidP="001E6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cstheme="minorHAnsi"/>
                <w:color w:val="000000"/>
              </w:rPr>
            </w:pPr>
            <w:r w:rsidRPr="001E625B">
              <w:rPr>
                <w:rFonts w:eastAsia="Bookman Old Style" w:cstheme="minorHAnsi"/>
                <w:color w:val="000000"/>
              </w:rPr>
              <w:t>Convocatoria 2007 (GR74/07), financiado por UCM-Comunidad de Madrid. Importe concedido: 25.000 € (vigencia del 01.01.2008 al 31.12.2008).</w:t>
            </w:r>
          </w:p>
          <w:p w:rsidR="001E625B" w:rsidRPr="001E625B" w:rsidRDefault="001E625B" w:rsidP="001E6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cstheme="minorHAnsi"/>
                <w:color w:val="000000"/>
              </w:rPr>
            </w:pPr>
            <w:r w:rsidRPr="001E625B">
              <w:rPr>
                <w:rFonts w:eastAsia="Bookman Old Style" w:cstheme="minorHAnsi"/>
                <w:color w:val="000000"/>
              </w:rPr>
              <w:t>Convocatoria 2008 (GR58/08), financiado por UCM-Santander. Importe concedido: 21.610 € (vigencia del 01.01.2009 al 31.12.2010).</w:t>
            </w:r>
          </w:p>
          <w:p w:rsidR="001E625B" w:rsidRPr="001E625B" w:rsidRDefault="001E625B" w:rsidP="001E6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cstheme="minorHAnsi"/>
                <w:color w:val="000000"/>
              </w:rPr>
            </w:pPr>
            <w:r w:rsidRPr="001E625B">
              <w:rPr>
                <w:rFonts w:eastAsia="Bookman Old Style" w:cstheme="minorHAnsi"/>
                <w:color w:val="000000"/>
              </w:rPr>
              <w:t>Convocatoria 2010 (GR35/10-A), financiado por UCM-Santander. Importe concedido: 10.010 € (vigencia del 01.01.2011 al 31.12.2011).</w:t>
            </w:r>
          </w:p>
          <w:p w:rsidR="001E625B" w:rsidRPr="001E625B" w:rsidRDefault="001E625B" w:rsidP="001E6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cstheme="minorHAnsi"/>
                <w:color w:val="000000"/>
              </w:rPr>
            </w:pPr>
            <w:r w:rsidRPr="001E625B">
              <w:rPr>
                <w:rFonts w:eastAsia="Bookman Old Style" w:cstheme="minorHAnsi"/>
                <w:color w:val="000000"/>
              </w:rPr>
              <w:t>Convocatoria 2014 (GR3/14), financiado por UCM-Santander. Importe concedido: 5.118,51€ (vigencia del 21.11.2014 al 20.11.2015).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950942">
              <w:rPr>
                <w:rFonts w:eastAsia="Bookman Old Style" w:cstheme="minorHAnsi"/>
                <w:b/>
                <w:lang w:val="en-US"/>
              </w:rPr>
              <w:t>12.</w:t>
            </w:r>
            <w:r w:rsidRPr="00950942">
              <w:rPr>
                <w:rFonts w:eastAsia="Bookman Old Style" w:cstheme="minorHAnsi"/>
                <w:lang w:val="en-US"/>
              </w:rPr>
              <w:t xml:space="preserve"> Miembro del Grupo designado para la realización de un “</w:t>
            </w:r>
            <w:r w:rsidRPr="00950942">
              <w:rPr>
                <w:rFonts w:eastAsia="Bookman Old Style" w:cstheme="minorHAnsi"/>
                <w:i/>
                <w:lang w:val="en-US"/>
              </w:rPr>
              <w:t>Handbook for judges, prosecutors and other competent authorities on how to issue and execute a request for enforcement of a freezing order</w:t>
            </w:r>
            <w:r w:rsidRPr="00950942">
              <w:rPr>
                <w:rFonts w:eastAsia="Bookman Old Style" w:cstheme="minorHAnsi"/>
                <w:lang w:val="en-US"/>
              </w:rPr>
              <w:t xml:space="preserve"> (JUST/2010/JPEN/PR/1004)”. </w:t>
            </w:r>
            <w:r w:rsidRPr="001E625B">
              <w:rPr>
                <w:rFonts w:eastAsia="Bookman Old Style" w:cstheme="minorHAnsi"/>
              </w:rPr>
              <w:t>Concurso convocado por la Dirección General de Justicia de la Unión Europea (Dirección Justicia Penal) para elaborar un Manual de utilización de las herramientas establecidas en la Decisión Marco 577/2003. Convocatoria 2010/2011. Financiación recibida: 75.012,50 €.</w:t>
            </w:r>
          </w:p>
          <w:p w:rsidR="001D7F79" w:rsidRPr="001E625B" w:rsidRDefault="001D7F79" w:rsidP="001E625B">
            <w:pPr>
              <w:rPr>
                <w:rFonts w:cstheme="minorHAnsi"/>
              </w:rPr>
            </w:pP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74FCD" w:rsidRPr="001E625B" w:rsidRDefault="00574FCD" w:rsidP="00574FCD">
            <w:pPr>
              <w:pStyle w:val="Ttulo3"/>
              <w:spacing w:before="0" w:after="120"/>
              <w:outlineLvl w:val="2"/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</w:pPr>
            <w:r w:rsidRPr="001E625B"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  <w:lastRenderedPageBreak/>
              <w:t>LIBROS</w:t>
            </w:r>
          </w:p>
          <w:p w:rsidR="00574FCD" w:rsidRPr="001E625B" w:rsidRDefault="00574FCD" w:rsidP="00574FCD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1.</w:t>
            </w:r>
            <w:r w:rsidRPr="001E625B">
              <w:rPr>
                <w:rFonts w:eastAsia="Bookman Old Style" w:cstheme="minorHAnsi"/>
                <w:i/>
              </w:rPr>
              <w:t xml:space="preserve"> </w:t>
            </w:r>
            <w:bookmarkStart w:id="9" w:name="_Hlk1734330"/>
            <w:r w:rsidRPr="001E625B">
              <w:rPr>
                <w:rFonts w:eastAsia="Bookman Old Style" w:cstheme="minorHAnsi"/>
                <w:i/>
              </w:rPr>
              <w:t>El «principio de consenso». La conformidad en el proceso penal español.</w:t>
            </w:r>
            <w:r w:rsidRPr="001E625B">
              <w:rPr>
                <w:rFonts w:eastAsia="Bookman Old Style" w:cstheme="minorHAnsi"/>
              </w:rPr>
              <w:t xml:space="preserve"> </w:t>
            </w:r>
            <w:bookmarkEnd w:id="9"/>
            <w:r w:rsidRPr="001E625B">
              <w:rPr>
                <w:rFonts w:eastAsia="Bookman Old Style" w:cstheme="minorHAnsi"/>
              </w:rPr>
              <w:t>Prólogo de A. de la Oliva Santos. Ed. Cedecs, Barcelona, 1998. ISBN: 84­95027­11­9 (350 pp.)</w:t>
            </w:r>
          </w:p>
          <w:p w:rsidR="00574FCD" w:rsidRPr="001E625B" w:rsidRDefault="00574FCD" w:rsidP="00574FCD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bookmarkStart w:id="10" w:name="_3ygebqi" w:colFirst="0" w:colLast="0"/>
            <w:bookmarkEnd w:id="10"/>
            <w:r w:rsidRPr="001E625B">
              <w:rPr>
                <w:rFonts w:eastAsia="Bookman Old Style" w:cstheme="minorHAnsi"/>
                <w:b/>
              </w:rPr>
              <w:t>2.</w:t>
            </w:r>
            <w:r w:rsidRPr="001E625B">
              <w:rPr>
                <w:rFonts w:eastAsia="Bookman Old Style" w:cstheme="minorHAnsi"/>
                <w:i/>
              </w:rPr>
              <w:t xml:space="preserve"> La reforma de la Ley de Enjuiciamiento Criminal: Comentario a la Ley 38/2002 y a la LO 8/2002, de 24 de octubre</w:t>
            </w:r>
            <w:r w:rsidRPr="001E625B">
              <w:rPr>
                <w:rFonts w:eastAsia="Bookman Old Style" w:cstheme="minorHAnsi"/>
              </w:rPr>
              <w:t xml:space="preserve"> (con F. Gascón Inchausti). </w:t>
            </w:r>
            <w:r w:rsidRPr="001E625B">
              <w:rPr>
                <w:rFonts w:eastAsia="Bookman Old Style" w:cstheme="minorHAnsi"/>
              </w:rPr>
              <w:lastRenderedPageBreak/>
              <w:t>Prólogo de I. Díez-Picazo Giménez. Civitas, Madrid, 2003. ISBN: 84-470-2058-4 (pp. 213 a 414).</w:t>
            </w:r>
          </w:p>
          <w:p w:rsidR="00574FCD" w:rsidRPr="001E625B" w:rsidRDefault="00574FCD" w:rsidP="00574FCD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bookmarkStart w:id="11" w:name="_2dlolyb" w:colFirst="0" w:colLast="0"/>
            <w:bookmarkEnd w:id="11"/>
            <w:r w:rsidRPr="001E625B">
              <w:rPr>
                <w:rFonts w:eastAsia="Bookman Old Style" w:cstheme="minorHAnsi"/>
                <w:b/>
              </w:rPr>
              <w:t>3.</w:t>
            </w:r>
            <w:r w:rsidRPr="001E625B">
              <w:rPr>
                <w:rFonts w:eastAsia="Bookman Old Style" w:cstheme="minorHAnsi"/>
              </w:rPr>
              <w:t xml:space="preserve"> </w:t>
            </w:r>
            <w:r w:rsidRPr="001E625B">
              <w:rPr>
                <w:rFonts w:eastAsia="Bookman Old Style" w:cstheme="minorHAnsi"/>
                <w:i/>
              </w:rPr>
              <w:t>Proceso penal y causa general. La inquisitio generalis en Derecho Español</w:t>
            </w:r>
            <w:r w:rsidRPr="001E625B">
              <w:rPr>
                <w:rFonts w:eastAsia="Bookman Old Style" w:cstheme="minorHAnsi"/>
              </w:rPr>
              <w:t>. Ed. Civitas, Madrid, 2008. ISBN 978-84-470-3091-0 (216 pp).</w:t>
            </w:r>
          </w:p>
          <w:p w:rsidR="00574FCD" w:rsidRPr="001E625B" w:rsidRDefault="00574FCD" w:rsidP="00574FCD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4.</w:t>
            </w:r>
            <w:r w:rsidRPr="001E625B">
              <w:rPr>
                <w:rFonts w:eastAsia="Bookman Old Style" w:cstheme="minorHAnsi"/>
                <w:i/>
              </w:rPr>
              <w:t xml:space="preserve"> </w:t>
            </w:r>
            <w:bookmarkStart w:id="12" w:name="_Hlk1928803"/>
            <w:r w:rsidRPr="001E625B">
              <w:rPr>
                <w:rFonts w:eastAsia="Bookman Old Style" w:cstheme="minorHAnsi"/>
                <w:i/>
              </w:rPr>
              <w:t>Las diligencias de investigación fiscal</w:t>
            </w:r>
            <w:r w:rsidRPr="001E625B">
              <w:rPr>
                <w:rFonts w:eastAsia="Bookman Old Style" w:cstheme="minorHAnsi"/>
              </w:rPr>
              <w:t>, Ed. Civitas, Aranzadi, Madrid, 2015. ISBN 978-84-9059-987-7. (219 pp.)</w:t>
            </w:r>
          </w:p>
          <w:p w:rsidR="00574FCD" w:rsidRPr="001E625B" w:rsidRDefault="00574FCD" w:rsidP="00574FCD">
            <w:pPr>
              <w:spacing w:after="120" w:line="288" w:lineRule="auto"/>
              <w:jc w:val="both"/>
              <w:rPr>
                <w:rFonts w:eastAsia="Bookman Old Style" w:cstheme="minorHAnsi"/>
                <w:b/>
              </w:rPr>
            </w:pPr>
            <w:r w:rsidRPr="001E625B">
              <w:rPr>
                <w:rFonts w:eastAsia="Bookman Old Style" w:cstheme="minorHAnsi"/>
                <w:b/>
              </w:rPr>
              <w:t>CAPÍTULOS DE LIBRO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1.</w:t>
            </w:r>
            <w:r w:rsidRPr="001E625B">
              <w:rPr>
                <w:rFonts w:eastAsia="Bookman Old Style" w:cstheme="minorHAnsi"/>
              </w:rPr>
              <w:t xml:space="preserve"> Comentarios a los artículos 3, 52, 53 y 54 de la Ley Orgánica del Tribunal del Jurado (con I. Díez-Picazo Giménez)», en la obra colectiva </w:t>
            </w:r>
            <w:r w:rsidRPr="001E625B">
              <w:rPr>
                <w:rFonts w:eastAsia="Bookman Old Style" w:cstheme="minorHAnsi"/>
                <w:i/>
              </w:rPr>
              <w:t>Comentarios a la Ley del Jurado</w:t>
            </w:r>
            <w:r w:rsidRPr="001E625B">
              <w:rPr>
                <w:rFonts w:eastAsia="Bookman Old Style" w:cstheme="minorHAnsi"/>
              </w:rPr>
              <w:t xml:space="preserve"> (coord. De la Oliva Santos). Ed. Centro de Estudios Ramón Areces, Madrid, 1999. ISBN: 84-8004­369­5, (pp. 104 a 110; y 501 a 555).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2.</w:t>
            </w:r>
            <w:r w:rsidRPr="001E625B">
              <w:rPr>
                <w:rFonts w:eastAsia="Bookman Old Style" w:cstheme="minorHAnsi"/>
              </w:rPr>
              <w:t xml:space="preserve"> Comentarios a los artículos 18 y 19 de la Ley de Condiciones Generales de la Contratación, en la obra colectiva </w:t>
            </w:r>
            <w:r w:rsidRPr="001E625B">
              <w:rPr>
                <w:rFonts w:eastAsia="Bookman Old Style" w:cstheme="minorHAnsi"/>
                <w:i/>
              </w:rPr>
              <w:t>Comentarios a la Ley 7/98, 13 de abril, de Condiciones Generales de la Contratación</w:t>
            </w:r>
            <w:r w:rsidRPr="001E625B">
              <w:rPr>
                <w:rFonts w:eastAsia="Bookman Old Style" w:cstheme="minorHAnsi"/>
              </w:rPr>
              <w:t xml:space="preserve"> (Dir. Díez­Picazo Ponce de León; y Menéndez y Menéndez. Coord. Alfaro Aguilar-Real). Civitas, Madrid, 2002. ISBN: 84­470­1773­7, (pp. 752 a 806).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3.</w:t>
            </w:r>
            <w:r w:rsidRPr="001E625B">
              <w:rPr>
                <w:rFonts w:eastAsia="Bookman Old Style" w:cstheme="minorHAnsi"/>
              </w:rPr>
              <w:t xml:space="preserve"> Comentario </w:t>
            </w:r>
            <w:bookmarkStart w:id="13" w:name="_Hlk2101560"/>
            <w:r w:rsidRPr="001E625B">
              <w:rPr>
                <w:rFonts w:eastAsia="Bookman Old Style" w:cstheme="minorHAnsi"/>
              </w:rPr>
              <w:t xml:space="preserve">al artículo II-108 de la Constitución Europea, en la obra colectiva </w:t>
            </w:r>
            <w:r w:rsidRPr="001E625B">
              <w:rPr>
                <w:rFonts w:eastAsia="Bookman Old Style" w:cstheme="minorHAnsi"/>
                <w:i/>
              </w:rPr>
              <w:t>Comentarios a la Constitución Europea</w:t>
            </w:r>
            <w:r w:rsidRPr="001E625B">
              <w:rPr>
                <w:rFonts w:eastAsia="Bookman Old Style" w:cstheme="minorHAnsi"/>
              </w:rPr>
              <w:t xml:space="preserve"> (Dir. Álvarez Conde; y Garrido Mayol), Libro II, Tirant lo blanch, Valencia, 2004. ISBN: 84-8456-235-2, (pp.1545 a 1571).</w:t>
            </w:r>
          </w:p>
          <w:bookmarkEnd w:id="13"/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4.</w:t>
            </w:r>
            <w:r w:rsidRPr="001E625B">
              <w:rPr>
                <w:rFonts w:eastAsia="Bookman Old Style" w:cstheme="minorHAnsi"/>
              </w:rPr>
              <w:t xml:space="preserve"> «Regla de exclusión y acusatorio», en </w:t>
            </w:r>
            <w:r w:rsidRPr="001E625B">
              <w:rPr>
                <w:rFonts w:eastAsia="Bookman Old Style" w:cstheme="minorHAnsi"/>
                <w:i/>
              </w:rPr>
              <w:t>Proceso penal y sistemas acusatorios</w:t>
            </w:r>
            <w:r w:rsidRPr="001E625B">
              <w:rPr>
                <w:rFonts w:eastAsia="Bookman Old Style" w:cstheme="minorHAnsi"/>
              </w:rPr>
              <w:t>, (coord. L. Bachmaier), Marcial Pons, Madrid, 2008. ISBN: 978-84-9768-558-0, (pp. 73 a 108).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5.</w:t>
            </w:r>
            <w:r w:rsidRPr="001E625B">
              <w:rPr>
                <w:rFonts w:eastAsia="Bookman Old Style" w:cstheme="minorHAnsi"/>
              </w:rPr>
              <w:t xml:space="preserve"> El «principio» </w:t>
            </w:r>
            <w:r w:rsidRPr="001E625B">
              <w:rPr>
                <w:rFonts w:eastAsia="Bookman Old Style" w:cstheme="minorHAnsi"/>
                <w:i/>
              </w:rPr>
              <w:t>non bis in idem</w:t>
            </w:r>
            <w:r w:rsidRPr="001E625B">
              <w:rPr>
                <w:rFonts w:eastAsia="Bookman Old Style" w:cstheme="minorHAnsi"/>
              </w:rPr>
              <w:t xml:space="preserve"> a la luz de la jurisprudencia del TJCE (con M. Cedeño Hernán), en la obra colectiva </w:t>
            </w:r>
            <w:r w:rsidRPr="001E625B">
              <w:rPr>
                <w:rFonts w:eastAsia="Bookman Old Style" w:cstheme="minorHAnsi"/>
                <w:i/>
              </w:rPr>
              <w:t xml:space="preserve">Justicia y Carta de Derechos Fundamentales en la Unión Europea </w:t>
            </w:r>
            <w:r w:rsidRPr="001E625B">
              <w:rPr>
                <w:rFonts w:eastAsia="Bookman Old Style" w:cstheme="minorHAnsi"/>
              </w:rPr>
              <w:t>(Dir. De la Oliva Santos. Coords. Aguilera Morales y Cubillo López), Ed. Colex, Madrid, 2008.ISBN: 978-84-8342-114-7, (pp. 188 a 240).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6.</w:t>
            </w:r>
            <w:r w:rsidRPr="001E625B">
              <w:rPr>
                <w:rFonts w:eastAsia="Bookman Old Style" w:cstheme="minorHAnsi"/>
              </w:rPr>
              <w:t xml:space="preserve"> «Hacia la puesta en funcionamiento del Esquema Judicial de Interoperabilidad y Seguridad: EJIS», en </w:t>
            </w:r>
            <w:r w:rsidRPr="001E625B">
              <w:rPr>
                <w:rFonts w:eastAsia="Bookman Old Style" w:cstheme="minorHAnsi"/>
                <w:i/>
              </w:rPr>
              <w:t>Presente y Futuro de la E-Justicia en España y la Unión Europea</w:t>
            </w:r>
            <w:r w:rsidRPr="001E625B">
              <w:rPr>
                <w:rFonts w:eastAsia="Bookman Old Style" w:cstheme="minorHAnsi"/>
              </w:rPr>
              <w:t xml:space="preserve"> (Coord. Carmen Senés Motilla), Cizur Menor, 2010. ISBN  978-84-9903-537-6. (pp.426 a 436).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7.</w:t>
            </w:r>
            <w:r w:rsidRPr="001E625B">
              <w:rPr>
                <w:rFonts w:eastAsia="Bookman Old Style" w:cstheme="minorHAnsi"/>
              </w:rPr>
              <w:t xml:space="preserve"> «Transmisión de documentos judiciales y extrajudiciales a efectos de notificación y traslado» (con I. Cubillo López), en </w:t>
            </w:r>
            <w:r w:rsidRPr="001E625B">
              <w:rPr>
                <w:rFonts w:eastAsia="Bookman Old Style" w:cstheme="minorHAnsi"/>
                <w:i/>
              </w:rPr>
              <w:t>Derecho Procesal Civil Europeo, Vol. II</w:t>
            </w:r>
            <w:r w:rsidRPr="001E625B">
              <w:rPr>
                <w:rFonts w:eastAsia="Bookman Old Style" w:cstheme="minorHAnsi"/>
              </w:rPr>
              <w:t xml:space="preserve"> (Dir. A. de la Oliva Santos. Coord. MP. Calderón Cuadrado), Cizur Menor, 2011.  ISBN 978-84-9903-816-2 (pp. 175 a 250).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8.</w:t>
            </w:r>
            <w:r w:rsidRPr="001E625B">
              <w:rPr>
                <w:rFonts w:eastAsia="Bookman Old Style" w:cstheme="minorHAnsi"/>
              </w:rPr>
              <w:t xml:space="preserve"> «Transmission of judicial and extrajudicial documents for the purposes </w:t>
            </w:r>
            <w:r w:rsidRPr="001E625B">
              <w:rPr>
                <w:rFonts w:eastAsia="Bookman Old Style" w:cstheme="minorHAnsi"/>
              </w:rPr>
              <w:lastRenderedPageBreak/>
              <w:t xml:space="preserve">of service: Regulation 1393/2007» (con Cubillo López, I.) en </w:t>
            </w:r>
            <w:r w:rsidRPr="001E625B">
              <w:rPr>
                <w:rFonts w:eastAsia="Bookman Old Style" w:cstheme="minorHAnsi"/>
                <w:i/>
              </w:rPr>
              <w:t>European Civil Procedure</w:t>
            </w:r>
            <w:r w:rsidRPr="001E625B">
              <w:rPr>
                <w:rFonts w:eastAsia="Bookman Old Style" w:cstheme="minorHAnsi"/>
              </w:rPr>
              <w:t xml:space="preserve"> (Dir. De la Oliva Santos), Cizur Menor, 2012, ISBN 978-84-9903-017-3 (pp. 283 a 303).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9.</w:t>
            </w:r>
            <w:r w:rsidRPr="001E625B">
              <w:rPr>
                <w:rFonts w:eastAsia="Bookman Old Style" w:cstheme="minorHAnsi"/>
              </w:rPr>
              <w:t xml:space="preserve"> «Simplificación en el intercambio de información e inteligencia criminal en la Unión Europea: La Decisión Marco 2006/960/JAI, como herramienta para su consolidación como Espacio de Seguridad» en </w:t>
            </w:r>
            <w:r w:rsidRPr="001E625B">
              <w:rPr>
                <w:rFonts w:eastAsia="Bookman Old Style" w:cstheme="minorHAnsi"/>
                <w:i/>
              </w:rPr>
              <w:t>La Armonización del Derecho Procesal tras el Tratado de Lisboa</w:t>
            </w:r>
            <w:r w:rsidRPr="001E625B">
              <w:rPr>
                <w:rFonts w:eastAsia="Bookman Old Style" w:cstheme="minorHAnsi"/>
              </w:rPr>
              <w:t xml:space="preserve"> (Dir. A. de la Oliva Santos y P. Calderón Cuadrado), Ed. Aranzadi, Cizur Menor, 2012, ISBN  978-84-9903-959-6 (pp. 579 a 614).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10.</w:t>
            </w:r>
            <w:r w:rsidRPr="001E625B">
              <w:rPr>
                <w:rFonts w:eastAsia="Bookman Old Style" w:cstheme="minorHAnsi"/>
              </w:rPr>
              <w:t xml:space="preserve"> «Una propuesta para la docencia del Derecho Procesal basada en el uso de expedientes procesales», en </w:t>
            </w:r>
            <w:r w:rsidRPr="001E625B">
              <w:rPr>
                <w:rFonts w:eastAsia="Bookman Old Style" w:cstheme="minorHAnsi"/>
                <w:i/>
              </w:rPr>
              <w:t>El aprendizaje del Derecho Procesal. Nuevos retos de la enseñanza universitaria</w:t>
            </w:r>
            <w:r w:rsidRPr="001E625B">
              <w:rPr>
                <w:rFonts w:eastAsia="Bookman Old Style" w:cstheme="minorHAnsi"/>
              </w:rPr>
              <w:t xml:space="preserve"> (Dir. J. Picó i Junoy) Bosh Editor, 2011 (pp. 503 a 513).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11.</w:t>
            </w:r>
            <w:r w:rsidRPr="001E625B">
              <w:rPr>
                <w:rFonts w:eastAsia="Bookman Old Style" w:cstheme="minorHAnsi"/>
              </w:rPr>
              <w:t xml:space="preserve"> «La mediación penal: ¿quimera o realidad?»,</w:t>
            </w:r>
            <w:r w:rsidRPr="001E625B">
              <w:rPr>
                <w:rFonts w:eastAsia="Bookman Old Style" w:cstheme="minorHAnsi"/>
                <w:b/>
              </w:rPr>
              <w:t xml:space="preserve"> </w:t>
            </w:r>
            <w:r w:rsidRPr="001E625B">
              <w:rPr>
                <w:rFonts w:eastAsia="Bookman Old Style" w:cstheme="minorHAnsi"/>
              </w:rPr>
              <w:t>en</w:t>
            </w:r>
            <w:r w:rsidRPr="001E625B">
              <w:rPr>
                <w:rFonts w:eastAsia="Bookman Old Style" w:cstheme="minorHAnsi"/>
                <w:i/>
              </w:rPr>
              <w:t xml:space="preserve"> Sobre la Mediación Penal (Posibilidades y límites en un entorno de reforma del proceso penal español) </w:t>
            </w:r>
            <w:r w:rsidRPr="001E625B">
              <w:rPr>
                <w:rFonts w:eastAsia="Bookman Old Style" w:cstheme="minorHAnsi"/>
              </w:rPr>
              <w:t>Dir. P.M. Garciandía González y H.  Soleto Muñoz (Coord. S. Oubiña Barbolla), Cizur Menor, 2012. ISBN 978-84-9014-027-7 (pp. 315 a 343).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12.</w:t>
            </w:r>
            <w:r w:rsidRPr="001E625B">
              <w:rPr>
                <w:rFonts w:eastAsia="Bookman Old Style" w:cstheme="minorHAnsi"/>
              </w:rPr>
              <w:t xml:space="preserve"> «Análisis crítico de la regulación normativa de la mediación en la justicia penal de menores a la luz de su aplicación práctica», en </w:t>
            </w:r>
            <w:r w:rsidRPr="001E625B">
              <w:rPr>
                <w:rFonts w:eastAsia="Bookman Old Style" w:cstheme="minorHAnsi"/>
                <w:i/>
              </w:rPr>
              <w:t>Sobre la Mediación Penal (Posibilidades y límites en un entorno de reforma del proceso penal español</w:t>
            </w:r>
            <w:r w:rsidRPr="001E625B">
              <w:rPr>
                <w:rFonts w:eastAsia="Bookman Old Style" w:cstheme="minorHAnsi"/>
              </w:rPr>
              <w:t>) Dir. P.M. Garciandía González y H. Soleto Muñoz (Coord. S. Oubiña Barbolla), Cizur Menor, 2012. ISBN 978-84-9014-027-7 (pp. 643 a 664).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13.</w:t>
            </w:r>
            <w:r w:rsidRPr="001E625B">
              <w:rPr>
                <w:rFonts w:eastAsia="Bookman Old Style" w:cstheme="minorHAnsi"/>
              </w:rPr>
              <w:t xml:space="preserve"> «El portal e-justice.europea.eu desde su página principal» Y «Herramientas para órganos jurisdiccionales y profesionales del Derecho», en</w:t>
            </w:r>
            <w:r w:rsidRPr="001E625B">
              <w:rPr>
                <w:rFonts w:eastAsia="Bookman Old Style" w:cstheme="minorHAnsi"/>
                <w:i/>
              </w:rPr>
              <w:t xml:space="preserve"> La e-Justicia en la Unión Europea. Desarrollos en el ámbito europeo y en sus ordenamientos nacionales </w:t>
            </w:r>
            <w:r w:rsidRPr="001E625B">
              <w:rPr>
                <w:rFonts w:eastAsia="Bookman Old Style" w:cstheme="minorHAnsi"/>
              </w:rPr>
              <w:t>(con A. de la Oliva Santos y F. Gascón Inchausti), Cizur Menor, 2012. ISBN 978-84-9903-982-4 (formato electrónico).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bookmarkStart w:id="14" w:name="_3cqmetx" w:colFirst="0" w:colLast="0"/>
            <w:bookmarkEnd w:id="14"/>
            <w:r w:rsidRPr="001E625B">
              <w:rPr>
                <w:rFonts w:eastAsia="Bookman Old Style" w:cstheme="minorHAnsi"/>
                <w:b/>
              </w:rPr>
              <w:t>14.</w:t>
            </w:r>
            <w:r w:rsidRPr="001E625B">
              <w:rPr>
                <w:rFonts w:eastAsia="Bookman Old Style" w:cstheme="minorHAnsi"/>
              </w:rPr>
              <w:t xml:space="preserve"> «La conformidad en la propuesta de Código Procesal Penal (</w:t>
            </w:r>
            <w:r w:rsidRPr="001E625B">
              <w:rPr>
                <w:rFonts w:eastAsia="Bookman Old Style" w:cstheme="minorHAnsi"/>
                <w:i/>
              </w:rPr>
              <w:t>Ubi non est iustitia, ibi non potest ese ius</w:t>
            </w:r>
            <w:r w:rsidRPr="001E625B">
              <w:rPr>
                <w:rFonts w:eastAsia="Bookman Old Style" w:cstheme="minorHAnsi"/>
              </w:rPr>
              <w:t xml:space="preserve">)», en </w:t>
            </w:r>
            <w:r w:rsidRPr="001E625B">
              <w:rPr>
                <w:rFonts w:eastAsia="Bookman Old Style" w:cstheme="minorHAnsi"/>
                <w:i/>
              </w:rPr>
              <w:t>Reflexiones sobre el nuevo proceso penal</w:t>
            </w:r>
            <w:r w:rsidRPr="001E625B">
              <w:rPr>
                <w:rFonts w:eastAsia="Bookman Old Style" w:cstheme="minorHAnsi"/>
              </w:rPr>
              <w:t xml:space="preserve"> (Dir. V. Moreno Catena). Valencia, 2015. ISBN.  978-84-9086-048-9 (pp. 849 a 870).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15.</w:t>
            </w:r>
            <w:r w:rsidRPr="001E625B">
              <w:rPr>
                <w:rFonts w:eastAsia="Bookman Old Style" w:cstheme="minorHAnsi"/>
              </w:rPr>
              <w:t xml:space="preserve"> «Iniciación del proceso penal», «Fase de instrucción del proceso penal. Actos de investigación» y «Sentencia penal», en </w:t>
            </w:r>
            <w:r w:rsidRPr="001E625B">
              <w:rPr>
                <w:rFonts w:eastAsia="Bookman Old Style" w:cstheme="minorHAnsi"/>
                <w:i/>
              </w:rPr>
              <w:t>Memento práctico Francis Lefebvre Ejercicio profesional de la Abogacía</w:t>
            </w:r>
            <w:r w:rsidRPr="001E625B">
              <w:rPr>
                <w:rFonts w:eastAsia="Bookman Old Style" w:cstheme="minorHAnsi"/>
              </w:rPr>
              <w:t xml:space="preserve"> (Coords. A.B.Campuzano y M. Enciso), Madrid, 2016, 1ª, 2ª y 3ª ed. ISBN 978-84-16612-12-3 (pp. 316 a 320; 320 a 355 y 355 a 359).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lastRenderedPageBreak/>
              <w:t>16.</w:t>
            </w:r>
            <w:r w:rsidRPr="001E625B">
              <w:rPr>
                <w:rFonts w:eastAsia="Bookman Old Style" w:cstheme="minorHAnsi"/>
              </w:rPr>
              <w:t xml:space="preserve"> «Ciberdelincuencia y derechos fundamentales: el legado de la inacción del legislador y la acción de los tribunales», en </w:t>
            </w:r>
            <w:r w:rsidRPr="001E625B">
              <w:rPr>
                <w:rFonts w:eastAsia="Bookman Old Style" w:cstheme="minorHAnsi"/>
                <w:i/>
              </w:rPr>
              <w:t>Estudios Homenaje a Andrés de la Oliva Santos</w:t>
            </w:r>
            <w:r w:rsidRPr="001E625B">
              <w:rPr>
                <w:rFonts w:eastAsia="Bookman Old Style" w:cstheme="minorHAnsi"/>
              </w:rPr>
              <w:t>, Editorial Universitaria Ramón Areces, Madrid, 2015. ISBN-13 (Tomo I) 978-84-9961-250-8, (pp. 1 a 23).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bookmarkStart w:id="15" w:name="_1rvwp1q" w:colFirst="0" w:colLast="0"/>
            <w:bookmarkEnd w:id="15"/>
            <w:r w:rsidRPr="001E625B">
              <w:rPr>
                <w:rFonts w:eastAsia="Bookman Old Style" w:cstheme="minorHAnsi"/>
                <w:b/>
              </w:rPr>
              <w:t>17.</w:t>
            </w:r>
            <w:r w:rsidRPr="001E625B">
              <w:rPr>
                <w:rFonts w:eastAsia="Bookman Old Style" w:cstheme="minorHAnsi"/>
              </w:rPr>
              <w:t xml:space="preserve"> «Víctima y conformidad: al encuentro de dos líneas paralelas llamadas a coincidir», </w:t>
            </w:r>
            <w:r w:rsidRPr="001E625B">
              <w:rPr>
                <w:rFonts w:eastAsia="Bookman Old Style" w:cstheme="minorHAnsi"/>
                <w:i/>
              </w:rPr>
              <w:t xml:space="preserve">en La víctima del Delito y las últimas reformas procesales penales </w:t>
            </w:r>
            <w:r w:rsidRPr="001E625B">
              <w:rPr>
                <w:rFonts w:eastAsia="Bookman Old Style" w:cstheme="minorHAnsi"/>
              </w:rPr>
              <w:t>(Dir. M. de Hoyos Sancho), Ed. Aranzadi, Cizur Menor, 2017, ISBN 978-84-9152-338-3, (pp. 99 a 119).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18.</w:t>
            </w:r>
            <w:r w:rsidRPr="001E625B">
              <w:rPr>
                <w:rFonts w:eastAsia="Bookman Old Style" w:cstheme="minorHAnsi"/>
              </w:rPr>
              <w:t xml:space="preserve"> </w:t>
            </w:r>
            <w:bookmarkStart w:id="16" w:name="_Hlk2103275"/>
            <w:r w:rsidRPr="001E625B">
              <w:rPr>
                <w:rFonts w:eastAsia="Bookman Old Style" w:cstheme="minorHAnsi"/>
              </w:rPr>
              <w:t xml:space="preserve">«Las grabaciones defectuosas o fallidas de las vistas y juicios: trascendencia procesal y constitucional» (con S. García Couso), en </w:t>
            </w:r>
            <w:r w:rsidRPr="001E625B">
              <w:rPr>
                <w:rFonts w:eastAsia="Bookman Old Style" w:cstheme="minorHAnsi"/>
                <w:i/>
                <w:color w:val="000000"/>
                <w:highlight w:val="white"/>
              </w:rPr>
              <w:t>Nuevas tecnologías y derechos fundamentales en el proceso</w:t>
            </w:r>
            <w:r w:rsidRPr="001E625B">
              <w:rPr>
                <w:rFonts w:eastAsia="Bookman Old Style" w:cstheme="minorHAnsi"/>
                <w:color w:val="000000"/>
                <w:highlight w:val="white"/>
              </w:rPr>
              <w:t xml:space="preserve"> (Coord. M. Cedeño Hernán). Ed. Aranzadi, Cizur Menor 2017</w:t>
            </w:r>
            <w:r w:rsidRPr="001E625B">
              <w:rPr>
                <w:rFonts w:eastAsia="Bookman Old Style" w:cstheme="minorHAnsi"/>
              </w:rPr>
              <w:t xml:space="preserve">, </w:t>
            </w:r>
            <w:bookmarkEnd w:id="16"/>
            <w:r w:rsidRPr="001E625B">
              <w:rPr>
                <w:rFonts w:eastAsia="Bookman Old Style" w:cstheme="minorHAnsi"/>
              </w:rPr>
              <w:t>ISBN 978-84-9152-738-1, (pp. 237 a 265).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bookmarkStart w:id="17" w:name="_4bvk7pj" w:colFirst="0" w:colLast="0"/>
            <w:bookmarkEnd w:id="17"/>
            <w:r w:rsidRPr="001E625B">
              <w:rPr>
                <w:rFonts w:eastAsia="Bookman Old Style" w:cstheme="minorHAnsi"/>
                <w:b/>
              </w:rPr>
              <w:t>19.</w:t>
            </w:r>
            <w:r w:rsidRPr="001E625B">
              <w:rPr>
                <w:rFonts w:eastAsia="Bookman Old Style" w:cstheme="minorHAnsi"/>
              </w:rPr>
              <w:t xml:space="preserve"> «Concurrencia de acciones colectivas e individuales: la solución a un problema de legalidad ordinaria de manos del TJUE», en </w:t>
            </w:r>
            <w:r w:rsidRPr="001E625B">
              <w:rPr>
                <w:rFonts w:eastAsia="Bookman Old Style" w:cstheme="minorHAnsi"/>
                <w:i/>
              </w:rPr>
              <w:t>Estudios sobre Jurisprudencia Europea: Materiales del I y II Encuentro anual del Centro español del European Law Institute</w:t>
            </w:r>
            <w:r w:rsidRPr="001E625B">
              <w:rPr>
                <w:rFonts w:eastAsia="Bookman Old Style" w:cstheme="minorHAnsi"/>
              </w:rPr>
              <w:t xml:space="preserve"> (Dir. A. Ruda González y C. Jerez Delgado; Coord. A. Orti Vallejo), Sepin, 2018, ISBN 978-84-17414-01-6</w:t>
            </w:r>
            <w:r w:rsidRPr="001E625B">
              <w:rPr>
                <w:rFonts w:eastAsia="Bookman Old Style" w:cstheme="minorHAnsi"/>
                <w:color w:val="FF0000"/>
              </w:rPr>
              <w:t xml:space="preserve"> </w:t>
            </w:r>
            <w:r w:rsidRPr="001E625B">
              <w:rPr>
                <w:rFonts w:eastAsia="Bookman Old Style" w:cstheme="minorHAnsi"/>
              </w:rPr>
              <w:t>(pp. 11 a 25).</w:t>
            </w:r>
          </w:p>
          <w:p w:rsidR="001E625B" w:rsidRPr="001E625B" w:rsidRDefault="001E625B" w:rsidP="001E625B">
            <w:pPr>
              <w:pStyle w:val="Ttulo3"/>
              <w:spacing w:before="0" w:after="120"/>
              <w:outlineLvl w:val="2"/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</w:pPr>
            <w:bookmarkStart w:id="18" w:name="_2r0uhxc" w:colFirst="0" w:colLast="0"/>
            <w:bookmarkEnd w:id="18"/>
            <w:r w:rsidRPr="001E625B"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  <w:t xml:space="preserve"> ARTÍCULOS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  <w:b/>
              </w:rPr>
            </w:pPr>
            <w:r w:rsidRPr="001E625B">
              <w:rPr>
                <w:rFonts w:eastAsia="Bookman Old Style" w:cstheme="minorHAnsi"/>
                <w:b/>
              </w:rPr>
              <w:t>1.</w:t>
            </w:r>
            <w:r w:rsidRPr="001E625B">
              <w:rPr>
                <w:rFonts w:eastAsia="Bookman Old Style" w:cstheme="minorHAnsi"/>
              </w:rPr>
              <w:t xml:space="preserve"> «Algunos apuntes acerca de la conformidad en el procedimiento previsto en el Anteproyecto de la Ley Orgánica Penal Juvenil y del Menor, de 27 de abril de 1995». </w:t>
            </w:r>
            <w:r w:rsidRPr="001E625B">
              <w:rPr>
                <w:rFonts w:eastAsia="Bookman Old Style" w:cstheme="minorHAnsi"/>
                <w:i/>
              </w:rPr>
              <w:t>Diario La Ley</w:t>
            </w:r>
            <w:r w:rsidRPr="001E625B">
              <w:rPr>
                <w:rFonts w:eastAsia="Bookman Old Style" w:cstheme="minorHAnsi"/>
              </w:rPr>
              <w:t>, nº 4149, 22 de octubre de 1996. Tomo de jurisprudencia 5/1996, D-321,</w:t>
            </w:r>
            <w:r w:rsidRPr="001E625B">
              <w:rPr>
                <w:rFonts w:eastAsia="Bookman Old Style" w:cstheme="minorHAnsi"/>
                <w:i/>
              </w:rPr>
              <w:t xml:space="preserve"> </w:t>
            </w:r>
            <w:r w:rsidRPr="001E625B">
              <w:rPr>
                <w:rFonts w:eastAsia="Bookman Old Style" w:cstheme="minorHAnsi"/>
              </w:rPr>
              <w:t>(pp. 1592 a 1597).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2.</w:t>
            </w:r>
            <w:r w:rsidRPr="001E625B">
              <w:rPr>
                <w:rFonts w:eastAsia="Bookman Old Style" w:cstheme="minorHAnsi"/>
              </w:rPr>
              <w:t xml:space="preserve"> «Observaciones críticas a las causas de disolución anticipada del Jurado» (I y II). </w:t>
            </w:r>
            <w:r w:rsidRPr="001E625B">
              <w:rPr>
                <w:rFonts w:eastAsia="Bookman Old Style" w:cstheme="minorHAnsi"/>
                <w:i/>
              </w:rPr>
              <w:t>Diario La Ley</w:t>
            </w:r>
            <w:r w:rsidRPr="001E625B">
              <w:rPr>
                <w:rFonts w:eastAsia="Bookman Old Style" w:cstheme="minorHAnsi"/>
              </w:rPr>
              <w:t>, nº 4394 y 4395, 14 y 15 de octubre de 1997.Tomo de jurisprudencia 5/1997, D-272 (pp. 1799 a 1806).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3.</w:t>
            </w:r>
            <w:r w:rsidRPr="001E625B">
              <w:rPr>
                <w:rFonts w:eastAsia="Bookman Old Style" w:cstheme="minorHAnsi"/>
              </w:rPr>
              <w:t xml:space="preserve"> «Algunas repercusiones procesales del nuevo Código Penal». </w:t>
            </w:r>
            <w:r w:rsidRPr="001E625B">
              <w:rPr>
                <w:rFonts w:eastAsia="Bookman Old Style" w:cstheme="minorHAnsi"/>
                <w:i/>
              </w:rPr>
              <w:t>Diario La Ley</w:t>
            </w:r>
            <w:r w:rsidRPr="001E625B">
              <w:rPr>
                <w:rFonts w:eastAsia="Bookman Old Style" w:cstheme="minorHAnsi"/>
              </w:rPr>
              <w:t>, nº 4465, 26 de enero de 1998. Tomo de jurisprudencia 1/1998, D-272 (pp. 1832 a 1837).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4.</w:t>
            </w:r>
            <w:r w:rsidRPr="001E625B">
              <w:rPr>
                <w:rFonts w:eastAsia="Bookman Old Style" w:cstheme="minorHAnsi"/>
              </w:rPr>
              <w:t xml:space="preserve"> «El reconocimiento de hechos y la petición de pase a enjuiciamiento inmediato </w:t>
            </w:r>
            <w:r w:rsidRPr="001E625B">
              <w:rPr>
                <w:rFonts w:eastAsia="Bookman Old Style" w:cstheme="minorHAnsi"/>
                <w:i/>
              </w:rPr>
              <w:t xml:space="preserve">ex </w:t>
            </w:r>
            <w:r w:rsidRPr="001E625B">
              <w:rPr>
                <w:rFonts w:eastAsia="Bookman Old Style" w:cstheme="minorHAnsi"/>
              </w:rPr>
              <w:t xml:space="preserve">artículo 789.5.5ª LECr.». </w:t>
            </w:r>
            <w:r w:rsidRPr="001E625B">
              <w:rPr>
                <w:rFonts w:eastAsia="Bookman Old Style" w:cstheme="minorHAnsi"/>
                <w:i/>
              </w:rPr>
              <w:t>Revista de Derecho Procesal</w:t>
            </w:r>
            <w:r w:rsidRPr="001E625B">
              <w:rPr>
                <w:rFonts w:eastAsia="Bookman Old Style" w:cstheme="minorHAnsi"/>
              </w:rPr>
              <w:t xml:space="preserve">, 1998-3, (pp. 539 a 572).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5.</w:t>
            </w:r>
            <w:r w:rsidRPr="001E625B">
              <w:rPr>
                <w:rFonts w:eastAsia="Bookman Old Style" w:cstheme="minorHAnsi"/>
              </w:rPr>
              <w:t xml:space="preserve"> «Las resoluciones de los miembros del órgano jurisdiccional». </w:t>
            </w:r>
            <w:r w:rsidRPr="001E625B">
              <w:rPr>
                <w:rFonts w:eastAsia="Bookman Old Style" w:cstheme="minorHAnsi"/>
                <w:i/>
              </w:rPr>
              <w:t>Estudios Jurídicos. Cuerpo de Secretarios Judiciales</w:t>
            </w:r>
            <w:r w:rsidRPr="001E625B">
              <w:rPr>
                <w:rFonts w:eastAsia="Bookman Old Style" w:cstheme="minorHAnsi"/>
              </w:rPr>
              <w:t xml:space="preserve">. </w:t>
            </w:r>
            <w:r w:rsidRPr="001E625B">
              <w:rPr>
                <w:rFonts w:eastAsia="Bookman Old Style" w:cstheme="minorHAnsi"/>
                <w:i/>
              </w:rPr>
              <w:t>El Proyecto de Ley de Enjuiciamiento Civil</w:t>
            </w:r>
            <w:r w:rsidRPr="001E625B">
              <w:rPr>
                <w:rFonts w:eastAsia="Bookman Old Style" w:cstheme="minorHAnsi"/>
              </w:rPr>
              <w:t xml:space="preserve">, 1999­I. Madrid, 1999, (pp. 305 a 347).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6.</w:t>
            </w:r>
            <w:r w:rsidRPr="001E625B">
              <w:rPr>
                <w:rFonts w:eastAsia="Bookman Old Style" w:cstheme="minorHAnsi"/>
              </w:rPr>
              <w:t xml:space="preserve"> «Resoluciones judiciales y diligencias de ordenación».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2000, núm.3, (pp. 275 a 230).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lastRenderedPageBreak/>
              <w:t>7.</w:t>
            </w:r>
            <w:r w:rsidRPr="001E625B">
              <w:rPr>
                <w:rFonts w:eastAsia="Bookman Old Style" w:cstheme="minorHAnsi"/>
              </w:rPr>
              <w:t xml:space="preserve"> «Aproximación a la ejecución provisional y definitiva, desde su regulación en la Ley 1/2000, de 7 de Enero, de Enjuiciamiento Civil».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2000, núm.7, (pp. 789 a 826).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8.</w:t>
            </w:r>
            <w:r w:rsidRPr="001E625B">
              <w:rPr>
                <w:rFonts w:eastAsia="Bookman Old Style" w:cstheme="minorHAnsi"/>
              </w:rPr>
              <w:t xml:space="preserve"> «Las medidas cautelares en la Ley de Responsabilidad Penal del Menor (o crónica de un despropósito)».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2003­3, (pp. 1 a 29).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9.</w:t>
            </w:r>
            <w:r w:rsidRPr="001E625B">
              <w:rPr>
                <w:rFonts w:eastAsia="Bookman Old Style" w:cstheme="minorHAnsi"/>
              </w:rPr>
              <w:t xml:space="preserve"> «Veinticinco años del Poder Judicial» (con Susana García-Couso). </w:t>
            </w:r>
            <w:r w:rsidRPr="001E625B">
              <w:rPr>
                <w:rFonts w:eastAsia="Bookman Old Style" w:cstheme="minorHAnsi"/>
                <w:i/>
              </w:rPr>
              <w:t>Revista de Derecho Político</w:t>
            </w:r>
            <w:r w:rsidRPr="001E625B">
              <w:rPr>
                <w:rFonts w:eastAsia="Bookman Old Style" w:cstheme="minorHAnsi"/>
              </w:rPr>
              <w:t xml:space="preserve">, 2003, núm. 58-59, (pp. 659 a 683).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10.</w:t>
            </w:r>
            <w:r w:rsidRPr="001E625B">
              <w:rPr>
                <w:rFonts w:eastAsia="Bookman Old Style" w:cstheme="minorHAnsi"/>
              </w:rPr>
              <w:t xml:space="preserve"> </w:t>
            </w:r>
            <w:bookmarkStart w:id="19" w:name="_Hlk2101706"/>
            <w:r w:rsidRPr="001E625B">
              <w:rPr>
                <w:rFonts w:eastAsia="Bookman Old Style" w:cstheme="minorHAnsi"/>
                <w:i/>
              </w:rPr>
              <w:t>«</w:t>
            </w:r>
            <w:r w:rsidRPr="001E625B">
              <w:rPr>
                <w:rFonts w:eastAsia="Bookman Old Style" w:cstheme="minorHAnsi"/>
              </w:rPr>
              <w:t xml:space="preserve">El artículo 14.5 PIDCP y la generalización de la doble instancia penal. Comentario a la Comunicación núm. 1101/2002, del Comité de Naciones Unidas de 5 de noviembre de 2004». </w:t>
            </w:r>
            <w:r w:rsidRPr="001E625B">
              <w:rPr>
                <w:rFonts w:eastAsia="Bookman Old Style" w:cstheme="minorHAnsi"/>
                <w:i/>
              </w:rPr>
              <w:t>Revista Europea de Derechos Fundamentales</w:t>
            </w:r>
            <w:r w:rsidRPr="001E625B">
              <w:rPr>
                <w:rFonts w:eastAsia="Bookman Old Style" w:cstheme="minorHAnsi"/>
              </w:rPr>
              <w:t xml:space="preserve">, núm. 4/2º semestre 2004, (pp.133 a 156).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</w:rPr>
            </w:pPr>
            <w:r w:rsidRPr="001E625B">
              <w:rPr>
                <w:rFonts w:eastAsia="Bookman Old Style" w:cstheme="minorHAnsi"/>
                <w:b/>
              </w:rPr>
              <w:t>11.</w:t>
            </w:r>
            <w:r w:rsidRPr="001E625B">
              <w:rPr>
                <w:rFonts w:eastAsia="Bookman Old Style" w:cstheme="minorHAnsi"/>
              </w:rPr>
              <w:t xml:space="preserve"> </w:t>
            </w:r>
            <w:r w:rsidRPr="001E625B">
              <w:rPr>
                <w:rFonts w:eastAsia="Bookman Old Style" w:cstheme="minorHAnsi"/>
                <w:i/>
              </w:rPr>
              <w:t>«</w:t>
            </w:r>
            <w:r w:rsidRPr="001E625B">
              <w:rPr>
                <w:rFonts w:eastAsia="Bookman Old Style" w:cstheme="minorHAnsi"/>
              </w:rPr>
              <w:t xml:space="preserve">El </w:t>
            </w:r>
            <w:r w:rsidRPr="001E625B">
              <w:rPr>
                <w:rFonts w:eastAsia="Bookman Old Style" w:cstheme="minorHAnsi"/>
                <w:i/>
              </w:rPr>
              <w:t>ne bis in idem</w:t>
            </w:r>
            <w:r w:rsidRPr="001E625B">
              <w:rPr>
                <w:rFonts w:eastAsia="Bookman Old Style" w:cstheme="minorHAnsi"/>
              </w:rPr>
              <w:t xml:space="preserve">: un derecho fundamental en el ámbito de la Unión Europea», </w:t>
            </w:r>
            <w:r w:rsidRPr="001E625B">
              <w:rPr>
                <w:rFonts w:eastAsia="Bookman Old Style" w:cstheme="minorHAnsi"/>
                <w:i/>
              </w:rPr>
              <w:t>Revista Española de Derecho Europeo</w:t>
            </w:r>
            <w:r w:rsidRPr="001E625B">
              <w:rPr>
                <w:rFonts w:eastAsia="Bookman Old Style" w:cstheme="minorHAnsi"/>
              </w:rPr>
              <w:t xml:space="preserve"> (Thomson-Civitas), núm. 20, 2006, (pp. 479 a 531).</w:t>
            </w:r>
            <w:r w:rsidRPr="001E625B">
              <w:rPr>
                <w:rFonts w:eastAsia="Bookman Old Style" w:cstheme="minorHAnsi"/>
                <w:b/>
                <w:i/>
              </w:rPr>
              <w:t xml:space="preserve"> </w:t>
            </w:r>
          </w:p>
          <w:bookmarkEnd w:id="19"/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12.</w:t>
            </w:r>
            <w:r w:rsidRPr="001E625B">
              <w:rPr>
                <w:rFonts w:eastAsia="Bookman Old Style" w:cstheme="minorHAnsi"/>
              </w:rPr>
              <w:t xml:space="preserve"> </w:t>
            </w:r>
            <w:bookmarkStart w:id="20" w:name="_Hlk1929020"/>
            <w:r w:rsidRPr="001E625B">
              <w:rPr>
                <w:rFonts w:eastAsia="Bookman Old Style" w:cstheme="minorHAnsi"/>
              </w:rPr>
              <w:t xml:space="preserve">«La eliminación de las prohibiciones probatorias en el proceso penal: ante una común y preocupante tendencia», en </w:t>
            </w:r>
            <w:r w:rsidRPr="001E625B">
              <w:rPr>
                <w:rFonts w:eastAsia="Bookman Old Style" w:cstheme="minorHAnsi"/>
                <w:i/>
              </w:rPr>
              <w:t>Revista General de Derecho Público Comparado</w:t>
            </w:r>
            <w:r w:rsidRPr="001E625B">
              <w:rPr>
                <w:rFonts w:eastAsia="Bookman Old Style" w:cstheme="minorHAnsi"/>
              </w:rPr>
              <w:t>, núm. 3, julio 2008. (versión electrónica, pp. 1 a 17).</w:t>
            </w:r>
            <w:bookmarkEnd w:id="20"/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13.</w:t>
            </w:r>
            <w:r w:rsidRPr="001E625B">
              <w:rPr>
                <w:rFonts w:eastAsia="Bookman Old Style" w:cstheme="minorHAnsi"/>
              </w:rPr>
              <w:t xml:space="preserve"> La tutela cautelar de las víctimas de violencia de género a la luz de su «regulación» legal, </w:t>
            </w:r>
            <w:r w:rsidRPr="001E625B">
              <w:rPr>
                <w:rFonts w:eastAsia="Bookman Old Style" w:cstheme="minorHAnsi"/>
                <w:i/>
              </w:rPr>
              <w:t xml:space="preserve">Diario La Ley </w:t>
            </w:r>
            <w:r w:rsidRPr="001E625B">
              <w:rPr>
                <w:rFonts w:eastAsia="Bookman Old Style" w:cstheme="minorHAnsi"/>
              </w:rPr>
              <w:t>núm. 7285</w:t>
            </w:r>
            <w:r w:rsidRPr="001E625B">
              <w:rPr>
                <w:rFonts w:eastAsia="Bookman Old Style" w:cstheme="minorHAnsi"/>
                <w:i/>
              </w:rPr>
              <w:t xml:space="preserve">, </w:t>
            </w:r>
            <w:r w:rsidRPr="001E625B">
              <w:rPr>
                <w:rFonts w:eastAsia="Bookman Old Style" w:cstheme="minorHAnsi"/>
              </w:rPr>
              <w:t>17 de noviembre de 2009, Ref. D-354 (pp. 1 a 15).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14.</w:t>
            </w:r>
            <w:r w:rsidRPr="001E625B">
              <w:rPr>
                <w:rFonts w:eastAsia="Bookman Old Style" w:cstheme="minorHAnsi"/>
              </w:rPr>
              <w:t xml:space="preserve"> «</w:t>
            </w:r>
            <w:r w:rsidRPr="001E625B">
              <w:rPr>
                <w:rFonts w:eastAsia="Bookman Old Style" w:cstheme="minorHAnsi"/>
                <w:i/>
              </w:rPr>
              <w:t>La pregiudizialità administrativa nel processo penale spagnolo</w:t>
            </w:r>
            <w:r w:rsidRPr="001E625B">
              <w:rPr>
                <w:rFonts w:eastAsia="Bookman Old Style" w:cstheme="minorHAnsi"/>
              </w:rPr>
              <w:t xml:space="preserve">», Revista </w:t>
            </w:r>
            <w:r w:rsidRPr="001E625B">
              <w:rPr>
                <w:rFonts w:eastAsia="Bookman Old Style" w:cstheme="minorHAnsi"/>
                <w:i/>
              </w:rPr>
              <w:t>Legislazione Penale</w:t>
            </w:r>
            <w:r w:rsidRPr="001E625B">
              <w:rPr>
                <w:rFonts w:eastAsia="Bookman Old Style" w:cstheme="minorHAnsi"/>
              </w:rPr>
              <w:t>, 2010 (99), n.2, (pp. 203 a 222).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15.</w:t>
            </w:r>
            <w:r w:rsidRPr="001E625B">
              <w:rPr>
                <w:rFonts w:eastAsia="Bookman Old Style" w:cstheme="minorHAnsi"/>
              </w:rPr>
              <w:t xml:space="preserve"> «La orden europea de detención y entrega: regulación y balance de su aplicación en España», Revista </w:t>
            </w:r>
            <w:r w:rsidRPr="001E625B">
              <w:rPr>
                <w:rFonts w:eastAsia="Bookman Old Style" w:cstheme="minorHAnsi"/>
                <w:i/>
              </w:rPr>
              <w:t>Archivio Penale</w:t>
            </w:r>
            <w:r w:rsidRPr="001E625B">
              <w:rPr>
                <w:rFonts w:eastAsia="Bookman Old Style" w:cstheme="minorHAnsi"/>
              </w:rPr>
              <w:t xml:space="preserve">, núm. 2011/2, Mayo-Agosto. </w:t>
            </w:r>
            <w:hyperlink r:id="rId8">
              <w:r w:rsidRPr="001E625B">
                <w:rPr>
                  <w:rFonts w:eastAsia="Bookman Old Style" w:cstheme="minorHAnsi"/>
                  <w:color w:val="0000FF"/>
                  <w:u w:val="single"/>
                </w:rPr>
                <w:t>http://www.archiviopenale.it</w:t>
              </w:r>
            </w:hyperlink>
            <w:r w:rsidRPr="001E625B">
              <w:rPr>
                <w:rFonts w:eastAsia="Bookman Old Style" w:cstheme="minorHAnsi"/>
              </w:rPr>
              <w:t>. (pp. 1 a 32).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16.</w:t>
            </w:r>
            <w:r w:rsidRPr="001E625B">
              <w:rPr>
                <w:rFonts w:eastAsia="Bookman Old Style" w:cstheme="minorHAnsi"/>
              </w:rPr>
              <w:t xml:space="preserve"> «El principio </w:t>
            </w:r>
            <w:r w:rsidRPr="001E625B">
              <w:rPr>
                <w:rFonts w:eastAsia="Bookman Old Style" w:cstheme="minorHAnsi"/>
                <w:i/>
              </w:rPr>
              <w:t>non bis in idem</w:t>
            </w:r>
            <w:r w:rsidRPr="001E625B">
              <w:rPr>
                <w:rFonts w:eastAsia="Bookman Old Style" w:cstheme="minorHAnsi"/>
              </w:rPr>
              <w:t xml:space="preserve"> a la luz de la jurisprudencia del Tribunal de Justicia (con M. Cedeño Hernán), Revista </w:t>
            </w:r>
            <w:r w:rsidRPr="001E625B">
              <w:rPr>
                <w:rFonts w:eastAsia="Bookman Old Style" w:cstheme="minorHAnsi"/>
                <w:i/>
              </w:rPr>
              <w:t>Archivio Penale</w:t>
            </w:r>
            <w:r w:rsidRPr="001E625B">
              <w:rPr>
                <w:rFonts w:eastAsia="Bookman Old Style" w:cstheme="minorHAnsi"/>
              </w:rPr>
              <w:t xml:space="preserve">, núm. 2011/2, Mayo-Agosto. </w:t>
            </w:r>
            <w:hyperlink r:id="rId9">
              <w:r w:rsidRPr="001E625B">
                <w:rPr>
                  <w:rFonts w:eastAsia="Bookman Old Style" w:cstheme="minorHAnsi"/>
                  <w:color w:val="0000FF"/>
                  <w:u w:val="single"/>
                </w:rPr>
                <w:t>http://www.archiviopenale.it</w:t>
              </w:r>
            </w:hyperlink>
            <w:r w:rsidRPr="001E625B">
              <w:rPr>
                <w:rFonts w:eastAsia="Bookman Old Style" w:cstheme="minorHAnsi"/>
              </w:rPr>
              <w:t>. (pp. 1 a 28).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17.</w:t>
            </w:r>
            <w:r w:rsidRPr="001E625B">
              <w:rPr>
                <w:rFonts w:eastAsia="Bookman Old Style" w:cstheme="minorHAnsi"/>
              </w:rPr>
              <w:t xml:space="preserve"> «La mediación penal: ¿quimera o realidad?», REDUR 9, Diciembre 2011, (pp. 127 a 146).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18.</w:t>
            </w:r>
            <w:r w:rsidRPr="001E625B">
              <w:rPr>
                <w:rFonts w:eastAsia="Bookman Old Style" w:cstheme="minorHAnsi"/>
              </w:rPr>
              <w:t xml:space="preserve"> «El exhorto europeo de investigación: a la búsqueda de la eficacia y la protección de los derechos fundamentales en las investigaciones penales transfronterizas», </w:t>
            </w:r>
            <w:r w:rsidRPr="001E625B">
              <w:rPr>
                <w:rFonts w:eastAsia="Bookman Old Style" w:cstheme="minorHAnsi"/>
                <w:i/>
              </w:rPr>
              <w:t>Boletín de Información del Ministerio de Justicia</w:t>
            </w:r>
            <w:r w:rsidRPr="001E625B">
              <w:rPr>
                <w:rFonts w:eastAsia="Bookman Old Style" w:cstheme="minorHAnsi"/>
              </w:rPr>
              <w:t>, núm. 2145, Agosto de 2012, (pp. 1 a 27).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19.</w:t>
            </w:r>
            <w:r w:rsidRPr="001E625B">
              <w:rPr>
                <w:rFonts w:eastAsia="Bookman Old Style" w:cstheme="minorHAnsi"/>
              </w:rPr>
              <w:t xml:space="preserve"> </w:t>
            </w:r>
            <w:bookmarkStart w:id="21" w:name="_Hlk2100344"/>
            <w:r w:rsidRPr="001E625B">
              <w:rPr>
                <w:rFonts w:eastAsia="Bookman Old Style" w:cstheme="minorHAnsi"/>
              </w:rPr>
              <w:t xml:space="preserve">«El incidente de nulidad de actuaciones </w:t>
            </w:r>
            <w:r w:rsidRPr="001E625B">
              <w:rPr>
                <w:rFonts w:eastAsia="Bookman Old Style" w:cstheme="minorHAnsi"/>
                <w:i/>
              </w:rPr>
              <w:t>ex</w:t>
            </w:r>
            <w:r w:rsidRPr="001E625B">
              <w:rPr>
                <w:rFonts w:eastAsia="Bookman Old Style" w:cstheme="minorHAnsi"/>
              </w:rPr>
              <w:t xml:space="preserve"> artículo 241 LOPJ: una mala solución para un gran problema», </w:t>
            </w:r>
            <w:r w:rsidRPr="001E625B">
              <w:rPr>
                <w:rFonts w:eastAsia="Bookman Old Style" w:cstheme="minorHAnsi"/>
                <w:i/>
              </w:rPr>
              <w:t>Revista General Derecho Procesal</w:t>
            </w:r>
            <w:r w:rsidRPr="001E625B">
              <w:rPr>
                <w:rFonts w:eastAsia="Bookman Old Style" w:cstheme="minorHAnsi"/>
              </w:rPr>
              <w:t xml:space="preserve"> nº 31, </w:t>
            </w:r>
            <w:r w:rsidRPr="001E625B">
              <w:rPr>
                <w:rFonts w:eastAsia="Bookman Old Style" w:cstheme="minorHAnsi"/>
              </w:rPr>
              <w:lastRenderedPageBreak/>
              <w:t>Septiembre 2013, (pp. 1 a 21).</w:t>
            </w:r>
          </w:p>
          <w:bookmarkEnd w:id="21"/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20.</w:t>
            </w:r>
            <w:r w:rsidRPr="001E625B">
              <w:rPr>
                <w:rFonts w:eastAsia="Bookman Old Style" w:cstheme="minorHAnsi"/>
              </w:rPr>
              <w:t xml:space="preserve"> </w:t>
            </w:r>
            <w:bookmarkStart w:id="22" w:name="_Hlk1753883"/>
            <w:r w:rsidRPr="001E625B">
              <w:rPr>
                <w:rFonts w:eastAsia="Bookman Old Style" w:cstheme="minorHAnsi"/>
              </w:rPr>
              <w:t xml:space="preserve">«La agilización de la Justicia Penal en el Proyecto de reforma de la Ley de Enjuiciamiento Criminal (o “de cuando el oro parece…”)», </w:t>
            </w:r>
            <w:r w:rsidRPr="001E625B">
              <w:rPr>
                <w:rFonts w:eastAsia="Bookman Old Style" w:cstheme="minorHAnsi"/>
                <w:i/>
              </w:rPr>
              <w:t>Diario La Ley</w:t>
            </w:r>
            <w:r w:rsidRPr="001E625B">
              <w:rPr>
                <w:rFonts w:eastAsia="Bookman Old Style" w:cstheme="minorHAnsi"/>
              </w:rPr>
              <w:t xml:space="preserve">, nº 8551,1 de junio de 2015, Ref. D-216, (pp. 1 a 18). </w:t>
            </w:r>
            <w:bookmarkEnd w:id="22"/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color w:val="FF0000"/>
              </w:rPr>
            </w:pPr>
            <w:r w:rsidRPr="001E625B">
              <w:rPr>
                <w:rFonts w:eastAsia="Bookman Old Style" w:cstheme="minorHAnsi"/>
                <w:b/>
              </w:rPr>
              <w:t>21.</w:t>
            </w:r>
            <w:r w:rsidRPr="001E625B">
              <w:rPr>
                <w:rFonts w:eastAsia="Bookman Old Style" w:cstheme="minorHAnsi"/>
              </w:rPr>
              <w:t xml:space="preserve"> «Nuevas y problemáticas competencias para los Juzgados de Violencia sobre la Mujer», </w:t>
            </w:r>
            <w:r w:rsidRPr="001E625B">
              <w:rPr>
                <w:rFonts w:eastAsia="Bookman Old Style" w:cstheme="minorHAnsi"/>
                <w:i/>
              </w:rPr>
              <w:t xml:space="preserve">Diario La Ley, </w:t>
            </w:r>
            <w:r w:rsidRPr="001E625B">
              <w:rPr>
                <w:rFonts w:eastAsia="Bookman Old Style" w:cstheme="minorHAnsi"/>
              </w:rPr>
              <w:t>n º 8800, Doctrina, 11 de julio de 2016, Ref. D-276, (pp. 1 a 12).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bookmarkStart w:id="23" w:name="_1664s55" w:colFirst="0" w:colLast="0"/>
            <w:bookmarkEnd w:id="23"/>
            <w:r w:rsidRPr="001E625B">
              <w:rPr>
                <w:rFonts w:eastAsia="Bookman Old Style" w:cstheme="minorHAnsi"/>
                <w:b/>
              </w:rPr>
              <w:t>22.</w:t>
            </w:r>
            <w:r w:rsidRPr="001E625B">
              <w:rPr>
                <w:rFonts w:eastAsia="Bookman Old Style" w:cstheme="minorHAnsi"/>
              </w:rPr>
              <w:t xml:space="preserve"> «Justicia penal y Unión Europea: un breve balance en clave de derechos». </w:t>
            </w:r>
            <w:r w:rsidRPr="001E625B">
              <w:rPr>
                <w:rFonts w:eastAsia="Bookman Old Style" w:cstheme="minorHAnsi"/>
                <w:i/>
              </w:rPr>
              <w:t>Diario La Ley,</w:t>
            </w:r>
            <w:r w:rsidRPr="001E625B">
              <w:rPr>
                <w:rFonts w:eastAsia="Bookman Old Style" w:cstheme="minorHAnsi"/>
              </w:rPr>
              <w:t xml:space="preserve"> nº 8883, Sección Doctrina, 16 de diciembre de 2016, Ref, D-4333, (pp. 1 a 12). también publicado en la revista italiana </w:t>
            </w:r>
            <w:r w:rsidRPr="001E625B">
              <w:rPr>
                <w:rFonts w:eastAsia="Bookman Old Style" w:cstheme="minorHAnsi"/>
                <w:i/>
              </w:rPr>
              <w:t>Archivio Penale</w:t>
            </w:r>
            <w:r w:rsidRPr="001E625B">
              <w:rPr>
                <w:rFonts w:eastAsia="Bookman Old Style" w:cstheme="minorHAnsi"/>
              </w:rPr>
              <w:t xml:space="preserve"> 3/2016. </w:t>
            </w:r>
            <w:hyperlink r:id="rId10">
              <w:r w:rsidRPr="001E625B">
                <w:rPr>
                  <w:rFonts w:eastAsia="Bookman Old Style" w:cstheme="minorHAnsi"/>
                  <w:color w:val="0000FF"/>
                  <w:u w:val="single"/>
                </w:rPr>
                <w:t>http://www.archiviopenale.it</w:t>
              </w:r>
            </w:hyperlink>
            <w:r w:rsidRPr="001E625B">
              <w:rPr>
                <w:rFonts w:eastAsia="Bookman Old Style" w:cstheme="minorHAnsi"/>
              </w:rPr>
              <w:t>. (pp.1 a 20).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bookmarkStart w:id="24" w:name="_3q5sasy" w:colFirst="0" w:colLast="0"/>
            <w:bookmarkEnd w:id="24"/>
            <w:r w:rsidRPr="001E625B">
              <w:rPr>
                <w:rFonts w:eastAsia="Bookman Old Style" w:cstheme="minorHAnsi"/>
                <w:b/>
              </w:rPr>
              <w:t>23.</w:t>
            </w:r>
            <w:r w:rsidRPr="001E625B">
              <w:rPr>
                <w:rFonts w:eastAsia="Bookman Old Style" w:cstheme="minorHAnsi"/>
              </w:rPr>
              <w:t xml:space="preserve"> «¿</w:t>
            </w:r>
            <w:r w:rsidRPr="001E625B">
              <w:rPr>
                <w:rFonts w:eastAsia="Bookman Old Style" w:cstheme="minorHAnsi"/>
                <w:i/>
              </w:rPr>
              <w:t>Quo vadis</w:t>
            </w:r>
            <w:r w:rsidRPr="001E625B">
              <w:rPr>
                <w:rFonts w:eastAsia="Bookman Old Style" w:cstheme="minorHAnsi"/>
              </w:rPr>
              <w:t xml:space="preserve"> “jura de cuentas”? ¿</w:t>
            </w:r>
            <w:r w:rsidRPr="001E625B">
              <w:rPr>
                <w:rFonts w:eastAsia="Bookman Old Style" w:cstheme="minorHAnsi"/>
                <w:i/>
              </w:rPr>
              <w:t xml:space="preserve">Quo vadis </w:t>
            </w:r>
            <w:r w:rsidRPr="001E625B">
              <w:rPr>
                <w:rFonts w:eastAsia="Bookman Old Style" w:cstheme="minorHAnsi"/>
              </w:rPr>
              <w:t xml:space="preserve">Europa? (El estatus y función de los Secretarios Judiciales a examen por el TJUE», </w:t>
            </w:r>
            <w:r w:rsidRPr="001E625B">
              <w:rPr>
                <w:rFonts w:eastAsia="Bookman Old Style" w:cstheme="minorHAnsi"/>
                <w:i/>
              </w:rPr>
              <w:t xml:space="preserve">Revista General de Derecho Procesal </w:t>
            </w:r>
            <w:r w:rsidRPr="001E625B">
              <w:rPr>
                <w:rFonts w:eastAsia="Bookman Old Style" w:cstheme="minorHAnsi"/>
              </w:rPr>
              <w:t>41, 2017, (pp. 1 a 22).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bookmarkStart w:id="25" w:name="_25b2l0r" w:colFirst="0" w:colLast="0"/>
            <w:bookmarkEnd w:id="25"/>
            <w:r w:rsidRPr="001E625B">
              <w:rPr>
                <w:rFonts w:eastAsia="Bookman Old Style" w:cstheme="minorHAnsi"/>
                <w:b/>
              </w:rPr>
              <w:t>24.</w:t>
            </w:r>
            <w:r w:rsidRPr="001E625B">
              <w:rPr>
                <w:rFonts w:eastAsia="Bookman Old Style" w:cstheme="minorHAnsi"/>
              </w:rPr>
              <w:t xml:space="preserve"> «TJUE, proceso civil y tutela de los consumidores: repaso por un año que termina y previsiones en torno a otro a que comienza», </w:t>
            </w:r>
            <w:r w:rsidRPr="001E625B">
              <w:rPr>
                <w:rFonts w:eastAsia="Bookman Old Style" w:cstheme="minorHAnsi"/>
                <w:i/>
              </w:rPr>
              <w:t xml:space="preserve">Revista General de Derecho Procesal </w:t>
            </w:r>
            <w:r w:rsidRPr="001E625B">
              <w:rPr>
                <w:rFonts w:eastAsia="Bookman Old Style" w:cstheme="minorHAnsi"/>
              </w:rPr>
              <w:t>44, 2018, (pp. 1 a 32).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bookmarkStart w:id="26" w:name="_kgcv8k" w:colFirst="0" w:colLast="0"/>
            <w:bookmarkStart w:id="27" w:name="_Hlk2089628"/>
            <w:bookmarkEnd w:id="26"/>
            <w:r w:rsidRPr="001E625B">
              <w:rPr>
                <w:rFonts w:eastAsia="Bookman Old Style" w:cstheme="minorHAnsi"/>
                <w:b/>
              </w:rPr>
              <w:t>25.</w:t>
            </w:r>
            <w:r w:rsidRPr="001E625B">
              <w:rPr>
                <w:rFonts w:eastAsia="Bookman Old Style" w:cstheme="minorHAnsi"/>
              </w:rPr>
              <w:t xml:space="preserve"> «La Orden Europea de Investigación: nuevas atribuciones para el Ministerio Fiscal», </w:t>
            </w:r>
            <w:r w:rsidRPr="001E625B">
              <w:rPr>
                <w:rFonts w:eastAsia="Bookman Old Style" w:cstheme="minorHAnsi"/>
                <w:i/>
              </w:rPr>
              <w:t>Revista Justicia</w:t>
            </w:r>
            <w:r w:rsidRPr="001E625B">
              <w:rPr>
                <w:rFonts w:eastAsia="Bookman Old Style" w:cstheme="minorHAnsi"/>
              </w:rPr>
              <w:t>, 2018-2 (pp. 195 a 221).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26.</w:t>
            </w:r>
            <w:r w:rsidRPr="001E625B">
              <w:rPr>
                <w:rFonts w:eastAsia="Bookman Old Style" w:cstheme="minorHAnsi"/>
              </w:rPr>
              <w:t xml:space="preserve"> «El control de oficio de las cláusulas abusivas en sede de recurso: la próxima batalla ante el TJUE», </w:t>
            </w:r>
            <w:r w:rsidRPr="001E625B">
              <w:rPr>
                <w:rFonts w:eastAsia="Bookman Old Style" w:cstheme="minorHAnsi"/>
                <w:i/>
              </w:rPr>
              <w:t>Diario La Ley</w:t>
            </w:r>
            <w:r w:rsidRPr="001E625B">
              <w:rPr>
                <w:rFonts w:eastAsia="Bookman Old Style" w:cstheme="minorHAnsi"/>
              </w:rPr>
              <w:t xml:space="preserve"> núm. 9378, 15 de marzo de 2019.</w:t>
            </w:r>
          </w:p>
          <w:p w:rsidR="001E625B" w:rsidRPr="001E625B" w:rsidRDefault="001E625B" w:rsidP="001E625B">
            <w:pPr>
              <w:pStyle w:val="Ttulo3"/>
              <w:spacing w:before="0" w:after="120"/>
              <w:outlineLvl w:val="2"/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</w:pPr>
            <w:bookmarkStart w:id="28" w:name="_34g0dwd" w:colFirst="0" w:colLast="0"/>
            <w:bookmarkEnd w:id="27"/>
            <w:bookmarkEnd w:id="28"/>
            <w:r w:rsidRPr="001E625B"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  <w:t>ARTÍCULOS DIVULGATIVOS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1.</w:t>
            </w:r>
            <w:r w:rsidRPr="001E625B">
              <w:rPr>
                <w:rFonts w:eastAsia="Bookman Old Style" w:cstheme="minorHAnsi"/>
                <w:color w:val="000000"/>
              </w:rPr>
              <w:t xml:space="preserve"> «Partes, intervención y sucesión procesal. Divulgación de la nueva Ley de Enjuiciamiento Civil».</w:t>
            </w:r>
            <w:r w:rsidRPr="001E625B">
              <w:rPr>
                <w:rFonts w:eastAsia="Bookman Old Style" w:cstheme="minorHAnsi"/>
                <w:i/>
                <w:color w:val="000000"/>
              </w:rPr>
              <w:t xml:space="preserve"> Tribunales de Justicia</w:t>
            </w:r>
            <w:r w:rsidRPr="001E625B">
              <w:rPr>
                <w:rFonts w:eastAsia="Bookman Old Style" w:cstheme="minorHAnsi"/>
                <w:color w:val="000000"/>
              </w:rPr>
              <w:t>, 2000-1, (pp. 15 a 19).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2.</w:t>
            </w:r>
            <w:r w:rsidRPr="001E625B">
              <w:rPr>
                <w:rFonts w:eastAsia="Bookman Old Style" w:cstheme="minorHAnsi"/>
                <w:color w:val="000000"/>
              </w:rPr>
              <w:t xml:space="preserve"> «Poderes de disposición de las partes sobre el proceso y sobre sus pretensiones. Divulgación de la nueva Ley de Enjuiciamiento Civil»,</w:t>
            </w:r>
            <w:r w:rsidRPr="001E625B">
              <w:rPr>
                <w:rFonts w:eastAsia="Bookman Old Style" w:cstheme="minorHAnsi"/>
                <w:i/>
                <w:color w:val="000000"/>
              </w:rPr>
              <w:t xml:space="preserve"> Tribunales de Justicia</w:t>
            </w:r>
            <w:r w:rsidRPr="001E625B">
              <w:rPr>
                <w:rFonts w:eastAsia="Bookman Old Style" w:cstheme="minorHAnsi"/>
                <w:color w:val="000000"/>
              </w:rPr>
              <w:t xml:space="preserve">, 2000-2, (pp. 149 a 153). 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3.</w:t>
            </w:r>
            <w:r w:rsidRPr="001E625B">
              <w:rPr>
                <w:rFonts w:eastAsia="Bookman Old Style" w:cstheme="minorHAnsi"/>
                <w:color w:val="000000"/>
              </w:rPr>
              <w:t xml:space="preserve"> «La representación procesal y la defensa técnica (I). Divulgación de la nueva Ley de Enjuiciamiento Civil»,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>, 2000-8/9, (pp. 937 a 940).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4.</w:t>
            </w:r>
            <w:r w:rsidRPr="001E625B">
              <w:rPr>
                <w:rFonts w:eastAsia="Bookman Old Style" w:cstheme="minorHAnsi"/>
                <w:color w:val="000000"/>
              </w:rPr>
              <w:t xml:space="preserve"> «La representación procesal y la defensa técnica (y II). Divulgación de la nueva Ley de Enjuiciamiento Civil»,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>, 2000-10, (pp.1061 a 1066)</w:t>
            </w:r>
            <w:r w:rsidRPr="001E625B">
              <w:rPr>
                <w:rFonts w:eastAsia="Bookman Old Style" w:cstheme="minorHAnsi"/>
                <w:b/>
                <w:i/>
                <w:color w:val="000000"/>
              </w:rPr>
              <w:t>.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5.</w:t>
            </w:r>
            <w:r w:rsidRPr="001E625B">
              <w:rPr>
                <w:rFonts w:eastAsia="Bookman Old Style" w:cstheme="minorHAnsi"/>
                <w:color w:val="000000"/>
              </w:rPr>
              <w:t xml:space="preserve"> «Actuaciones judiciales: requisitos y características generales». Divulgación de la nueva Ley de Enjuiciamiento Civil,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>, 2000-12, (pp. 1289 a 1296).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lastRenderedPageBreak/>
              <w:t>6.</w:t>
            </w:r>
            <w:r w:rsidRPr="001E625B">
              <w:rPr>
                <w:rFonts w:eastAsia="Bookman Old Style" w:cstheme="minorHAnsi"/>
                <w:color w:val="000000"/>
              </w:rPr>
              <w:t xml:space="preserve"> «Procedimientos declarativos: reglas para determinar el procedimiento aplicable». Divulgación de la nueva Ley de Enjuiciamiento Civil,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 xml:space="preserve">, 2001-2, (pp. 23 a 29). 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7.</w:t>
            </w:r>
            <w:r w:rsidRPr="001E625B">
              <w:rPr>
                <w:rFonts w:eastAsia="Bookman Old Style" w:cstheme="minorHAnsi"/>
                <w:color w:val="000000"/>
              </w:rPr>
              <w:t xml:space="preserve"> «Presentación de documentos, dictámenes e informes y otros medios e instrumentos y traslado de las copias a las partes». Divulgación de la nueva Ley de Enjuiciamiento Civil</w:t>
            </w:r>
            <w:r w:rsidRPr="001E625B">
              <w:rPr>
                <w:rFonts w:eastAsia="Bookman Old Style" w:cstheme="minorHAnsi"/>
                <w:i/>
                <w:color w:val="000000"/>
              </w:rPr>
              <w:t>,</w:t>
            </w:r>
            <w:r w:rsidRPr="001E625B">
              <w:rPr>
                <w:rFonts w:eastAsia="Bookman Old Style" w:cstheme="minorHAnsi"/>
                <w:color w:val="000000"/>
              </w:rPr>
              <w:t xml:space="preserve">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 xml:space="preserve">, 2001-3, (pp. 35 a 39). 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8.</w:t>
            </w:r>
            <w:r w:rsidRPr="001E625B">
              <w:rPr>
                <w:rFonts w:eastAsia="Bookman Old Style" w:cstheme="minorHAnsi"/>
                <w:color w:val="000000"/>
              </w:rPr>
              <w:t xml:space="preserve"> «Las diligencias preliminares». Divulgación de la nueva Ley de Enjuiciamiento Civil,</w:t>
            </w:r>
            <w:r w:rsidRPr="001E625B">
              <w:rPr>
                <w:rFonts w:eastAsia="Bookman Old Style" w:cstheme="minorHAnsi"/>
                <w:i/>
                <w:color w:val="000000"/>
              </w:rPr>
              <w:t xml:space="preserve"> Tribunales de Justicia</w:t>
            </w:r>
            <w:r w:rsidRPr="001E625B">
              <w:rPr>
                <w:rFonts w:eastAsia="Bookman Old Style" w:cstheme="minorHAnsi"/>
                <w:color w:val="000000"/>
              </w:rPr>
              <w:t xml:space="preserve">, 2001-4, (pp. 25 a 29). 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9.</w:t>
            </w:r>
            <w:r w:rsidRPr="001E625B">
              <w:rPr>
                <w:rFonts w:eastAsia="Bookman Old Style" w:cstheme="minorHAnsi"/>
                <w:color w:val="000000"/>
              </w:rPr>
              <w:t xml:space="preserve"> «Aspectos generales de la prueba». Divulgación de la nueva Ley de Enjuiciamiento Civil,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>, 2001-5, (pp. 13 a 20)</w:t>
            </w:r>
            <w:r w:rsidRPr="001E625B">
              <w:rPr>
                <w:rFonts w:eastAsia="Bookman Old Style" w:cstheme="minorHAnsi"/>
                <w:b/>
                <w:i/>
                <w:color w:val="000000"/>
              </w:rPr>
              <w:t>.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10.</w:t>
            </w:r>
            <w:r w:rsidRPr="001E625B">
              <w:rPr>
                <w:rFonts w:eastAsia="Bookman Old Style" w:cstheme="minorHAnsi"/>
                <w:color w:val="000000"/>
              </w:rPr>
              <w:t xml:space="preserve"> «Los procesos declarativos ordinarios. El juicio ordinario». Divulgación de la nueva Ley de Enjuiciamiento Civil,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 xml:space="preserve">, 2001-6, (pp. 9 a 15). 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11.</w:t>
            </w:r>
            <w:r w:rsidRPr="001E625B">
              <w:rPr>
                <w:rFonts w:eastAsia="Bookman Old Style" w:cstheme="minorHAnsi"/>
                <w:color w:val="000000"/>
              </w:rPr>
              <w:t xml:space="preserve"> «Los procesos declarativos ordinarios. El juicio verbal». Divulgación de la nueva Ley de Enjuiciamiento Civil,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 xml:space="preserve">, 2001-6, (pp. 17 a 20). 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12.</w:t>
            </w:r>
            <w:r w:rsidRPr="001E625B">
              <w:rPr>
                <w:rFonts w:eastAsia="Bookman Old Style" w:cstheme="minorHAnsi"/>
                <w:color w:val="000000"/>
              </w:rPr>
              <w:t xml:space="preserve"> «Especialidades de los procesos declarativos ordinarios». Divulgación de la nueva Ley de Enjuiciamiento Civil,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>, 2001-7, (pp. 1 a 17).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13.</w:t>
            </w:r>
            <w:r w:rsidRPr="001E625B">
              <w:rPr>
                <w:rFonts w:eastAsia="Bookman Old Style" w:cstheme="minorHAnsi"/>
                <w:color w:val="000000"/>
              </w:rPr>
              <w:t xml:space="preserve"> «Cuestiones y procedimiento incidentales. Las costas». Divulgación de la nueva Ley de Enjuiciamiento Civil,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>, 2001-8/9, (pp. 11 a 16)</w:t>
            </w:r>
            <w:r w:rsidRPr="001E625B">
              <w:rPr>
                <w:rFonts w:eastAsia="Bookman Old Style" w:cstheme="minorHAnsi"/>
                <w:b/>
                <w:i/>
                <w:color w:val="000000"/>
              </w:rPr>
              <w:t>.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14.</w:t>
            </w:r>
            <w:r w:rsidRPr="001E625B">
              <w:rPr>
                <w:rFonts w:eastAsia="Bookman Old Style" w:cstheme="minorHAnsi"/>
                <w:color w:val="000000"/>
              </w:rPr>
              <w:t xml:space="preserve"> «Los recursos en la Ley de Enjuiciamiento Civil. Recursos ordinarios: Reposición y apelación». Divulgación de la Nueva Ley de Enjuiciamiento Civil,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 xml:space="preserve">, 2001-11, (pp. 3 a 14). 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15.</w:t>
            </w:r>
            <w:r w:rsidRPr="001E625B">
              <w:rPr>
                <w:rFonts w:eastAsia="Bookman Old Style" w:cstheme="minorHAnsi"/>
                <w:color w:val="000000"/>
              </w:rPr>
              <w:t xml:space="preserve"> «Los recursos extraordinarios: casación; extraordinario por infracción procesal; en interés de ley y queja». Divulgación de la Nueva Ley de Enjuiciamiento Civil,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>, 2001-11, (pp. 15 a 27).</w:t>
            </w:r>
          </w:p>
          <w:p w:rsidR="001E625B" w:rsidRPr="001E625B" w:rsidRDefault="001E625B" w:rsidP="001E6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45"/>
              <w:jc w:val="both"/>
              <w:rPr>
                <w:rFonts w:eastAsia="Bookman Old Style" w:cstheme="minorHAnsi"/>
                <w:b/>
                <w:i/>
                <w:color w:val="000000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>16.</w:t>
            </w:r>
            <w:r w:rsidRPr="001E625B">
              <w:rPr>
                <w:rFonts w:eastAsia="Bookman Old Style" w:cstheme="minorHAnsi"/>
                <w:color w:val="000000"/>
              </w:rPr>
              <w:t xml:space="preserve"> «Medios de impugnación de resoluciones firmes». Divulgación de la nueva Ley de Enjuiciamiento Civil», </w:t>
            </w:r>
            <w:r w:rsidRPr="001E625B">
              <w:rPr>
                <w:rFonts w:eastAsia="Bookman Old Style" w:cstheme="minorHAnsi"/>
                <w:i/>
                <w:color w:val="000000"/>
              </w:rPr>
              <w:t>Tribunales de Justicia</w:t>
            </w:r>
            <w:r w:rsidRPr="001E625B">
              <w:rPr>
                <w:rFonts w:eastAsia="Bookman Old Style" w:cstheme="minorHAnsi"/>
                <w:color w:val="000000"/>
              </w:rPr>
              <w:t>, 2001-12, (pp. 29 a 35)</w:t>
            </w:r>
            <w:r w:rsidRPr="001E625B">
              <w:rPr>
                <w:rFonts w:eastAsia="Bookman Old Style" w:cstheme="minorHAnsi"/>
                <w:b/>
                <w:i/>
                <w:color w:val="000000"/>
              </w:rPr>
              <w:t xml:space="preserve">. 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17.</w:t>
            </w:r>
            <w:r w:rsidRPr="001E625B">
              <w:rPr>
                <w:rFonts w:eastAsia="Bookman Old Style" w:cstheme="minorHAnsi"/>
              </w:rPr>
              <w:t xml:space="preserve"> «Justicia 2016: objetivo papel 0 (Nota informativa en torno al RD 1065/2015, sobre comunicaciones electrónicas en la administración de justicia y por el que se regula el sistema lexnet)», </w:t>
            </w:r>
            <w:r w:rsidRPr="001E625B">
              <w:rPr>
                <w:rFonts w:eastAsia="Bookman Old Style" w:cstheme="minorHAnsi"/>
                <w:i/>
              </w:rPr>
              <w:t>E-Prints Complutense</w:t>
            </w:r>
            <w:r w:rsidRPr="001E625B">
              <w:rPr>
                <w:rFonts w:eastAsia="Bookman Old Style" w:cstheme="minorHAnsi"/>
              </w:rPr>
              <w:t xml:space="preserve">, diciembre 2015. </w:t>
            </w:r>
            <w:r w:rsidRPr="001E625B">
              <w:rPr>
                <w:rFonts w:eastAsia="Bookman Old Style" w:cstheme="minorHAnsi"/>
                <w:i/>
              </w:rPr>
              <w:t>Openacces</w:t>
            </w:r>
            <w:r w:rsidRPr="001E625B">
              <w:rPr>
                <w:rFonts w:eastAsia="Bookman Old Style" w:cstheme="minorHAnsi"/>
              </w:rPr>
              <w:t xml:space="preserve">. </w:t>
            </w:r>
            <w:hyperlink r:id="rId11">
              <w:r w:rsidRPr="001E625B">
                <w:rPr>
                  <w:rFonts w:eastAsia="Bookman Old Style" w:cstheme="minorHAnsi"/>
                  <w:color w:val="1155CC"/>
                  <w:highlight w:val="white"/>
                  <w:u w:val="single"/>
                </w:rPr>
                <w:t>http://eprints.ucm.es/34925/</w:t>
              </w:r>
            </w:hyperlink>
          </w:p>
          <w:p w:rsidR="001E625B" w:rsidRPr="001E625B" w:rsidRDefault="001E625B" w:rsidP="001E625B">
            <w:pPr>
              <w:pStyle w:val="Ttulo3"/>
              <w:spacing w:before="0" w:after="120"/>
              <w:jc w:val="both"/>
              <w:outlineLvl w:val="2"/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</w:pPr>
            <w:r w:rsidRPr="001E625B"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  <w:t>COMENTARIOS JURISPRUDENCIALES</w:t>
            </w:r>
          </w:p>
          <w:p w:rsidR="001E625B" w:rsidRPr="001E625B" w:rsidRDefault="001E625B" w:rsidP="001E625B">
            <w:pPr>
              <w:spacing w:after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1.</w:t>
            </w:r>
            <w:r w:rsidRPr="001E625B">
              <w:rPr>
                <w:rFonts w:eastAsia="Bookman Old Style" w:cstheme="minorHAnsi"/>
              </w:rPr>
              <w:t xml:space="preserve"> Legalidad de la diligencia de entrada y registro sin la presencia del </w:t>
            </w:r>
            <w:r w:rsidRPr="001E625B">
              <w:rPr>
                <w:rFonts w:eastAsia="Bookman Old Style" w:cstheme="minorHAnsi"/>
              </w:rPr>
              <w:lastRenderedPageBreak/>
              <w:t xml:space="preserve">Secretario Judicial. Cosa Juzgada Penal: eficacia negativa; límites. Comentario a la Sentencia de la Sala Segunda del Tribunal Supremo, de 20 de junio de 1997.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1998-3, (pp. 369 a 373)</w:t>
            </w:r>
            <w:r w:rsidRPr="001E625B">
              <w:rPr>
                <w:rFonts w:eastAsia="Bookman Old Style" w:cstheme="minorHAnsi"/>
                <w:b/>
                <w:i/>
              </w:rPr>
              <w:t xml:space="preserve">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2.</w:t>
            </w:r>
            <w:r w:rsidRPr="001E625B">
              <w:rPr>
                <w:rFonts w:eastAsia="Bookman Old Style" w:cstheme="minorHAnsi"/>
              </w:rPr>
              <w:t xml:space="preserve"> Valor procesal de la declaración hecha por confidentes anónimos. Entrada y registro: motivación suficiente; descubrimiento de hecho delictivo distinto del inicialmente investigado. Comentario a la Sentencia de la Sala Segunda del Tribunal Supremo, de 26 de septiembre de 1997.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1998-4, (pp. 485 a 490).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3.</w:t>
            </w:r>
            <w:r w:rsidRPr="001E625B">
              <w:rPr>
                <w:rFonts w:eastAsia="Bookman Old Style" w:cstheme="minorHAnsi"/>
              </w:rPr>
              <w:t xml:space="preserve"> Adhesión a la apelación en procedimiento abreviado. Imposibilidad del apelante principal para contradecir el escrito de impugnación-adhesión: indefensión. Comentario a la Sentencia del Tribunal Constitucional 162/1997, de 3 de octubre.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1998-5, (pp. 600 a 603).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4.</w:t>
            </w:r>
            <w:r w:rsidRPr="001E625B">
              <w:rPr>
                <w:rFonts w:eastAsia="Bookman Old Style" w:cstheme="minorHAnsi"/>
              </w:rPr>
              <w:t xml:space="preserve"> Legislación delegada; eficacia jurídica de la fe de errores: nulidad del Libro IV del Texto Articulado de la Ley de Procedimiento Laboral de 1990, en su redacción dada por rectificación de errores. Comentario a la Sentencia del Tribunal Supremo (Sala de lo Contencioso-Administrativo), de 3 de octubre de 1997.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1998-7, (pp. 780 a 787).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5.</w:t>
            </w:r>
            <w:r w:rsidRPr="001E625B">
              <w:rPr>
                <w:rFonts w:eastAsia="Bookman Old Style" w:cstheme="minorHAnsi"/>
              </w:rPr>
              <w:t xml:space="preserve"> Eficacia probatoria de la grabación de conversaciones directas entre presos preventivos pese a la ausencia de cobertura legal. Comentario a la Sentencia de la Sala Segunda del Tribunal Supremo de 10 de febrero de 1998.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1988-10, (pp. 1039 a 1044).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</w:rPr>
            </w:pPr>
            <w:r w:rsidRPr="001E625B">
              <w:rPr>
                <w:rFonts w:eastAsia="Bookman Old Style" w:cstheme="minorHAnsi"/>
                <w:b/>
              </w:rPr>
              <w:t>6.</w:t>
            </w:r>
            <w:r w:rsidRPr="001E625B">
              <w:rPr>
                <w:rFonts w:eastAsia="Bookman Old Style" w:cstheme="minorHAnsi"/>
              </w:rPr>
              <w:t xml:space="preserve"> Intervención de las comunicaciones escritas entre internos y Abogados por la Administración Penitenciaria. Comentario a la Sentencia del Tribunal Constitucional 58/1998, de 16 de marzo.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1998-11, (pp. 1155 a 1160).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7.</w:t>
            </w:r>
            <w:r w:rsidRPr="001E625B">
              <w:rPr>
                <w:rFonts w:eastAsia="Bookman Old Style" w:cstheme="minorHAnsi"/>
              </w:rPr>
              <w:t xml:space="preserve"> Sentencia de «estricta conformidad»: desvinculación del Tribunal por falta de tipicidad penal de los hechos objeto de conformidad». Comentario a la Sentencia de la Audiencia Provincial de Logroño de 30 de enero de 1998.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1998-12, (pp. 1281 a 1284).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8.</w:t>
            </w:r>
            <w:r w:rsidRPr="001E625B">
              <w:rPr>
                <w:rFonts w:eastAsia="Bookman Old Style" w:cstheme="minorHAnsi"/>
              </w:rPr>
              <w:t xml:space="preserve"> Nulidad de actuaciones tras sentencia firme. Defectos de forma que causan indefensión». Comentario al Auto del Tribunal Supremo de 28 de Mayo de 1998.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1999-2, (pp. 192 a 195).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9.</w:t>
            </w:r>
            <w:r w:rsidRPr="001E625B">
              <w:rPr>
                <w:rFonts w:eastAsia="Bookman Old Style" w:cstheme="minorHAnsi"/>
              </w:rPr>
              <w:t xml:space="preserve"> Falta de motivación del veredicto. Posibilidad de alegar en la vista motivos distintos de los que se expresaron en el escrito de interposición del recurso de apelación». Comentario a la Sentencia del Tribunal Supremo de 8 de octubre de 1998.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1999-4, (pp. 376 a 380).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10.</w:t>
            </w:r>
            <w:r w:rsidRPr="001E625B">
              <w:rPr>
                <w:rFonts w:eastAsia="Bookman Old Style" w:cstheme="minorHAnsi"/>
              </w:rPr>
              <w:t xml:space="preserve"> Requisitos para que prospere un recurso por denegación de prueba testifical o pericial. Pertinencia y necesidad probatoria. Comentario a la Sentencia del Tribunal Supremo de 19 de octubre de 1998. </w:t>
            </w:r>
            <w:r w:rsidRPr="001E625B">
              <w:rPr>
                <w:rFonts w:eastAsia="Bookman Old Style" w:cstheme="minorHAnsi"/>
                <w:i/>
              </w:rPr>
              <w:t xml:space="preserve">Tribunales de </w:t>
            </w:r>
            <w:r w:rsidRPr="001E625B">
              <w:rPr>
                <w:rFonts w:eastAsia="Bookman Old Style" w:cstheme="minorHAnsi"/>
                <w:i/>
              </w:rPr>
              <w:lastRenderedPageBreak/>
              <w:t>Justicia</w:t>
            </w:r>
            <w:r w:rsidRPr="001E625B">
              <w:rPr>
                <w:rFonts w:eastAsia="Bookman Old Style" w:cstheme="minorHAnsi"/>
              </w:rPr>
              <w:t xml:space="preserve">, 1999- 8/9, (pp. 827 a 831).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11.</w:t>
            </w:r>
            <w:r w:rsidRPr="001E625B">
              <w:rPr>
                <w:rFonts w:eastAsia="Bookman Old Style" w:cstheme="minorHAnsi"/>
              </w:rPr>
              <w:t xml:space="preserve"> Legitimación del Fiscal para recurrir la sentencia cuando el acusado manifiesta su conformidad. Comentario a la Sentencia del Tribunal Supremo de 28 de diciembre de 1998.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1999-10, (pp. 993 a 996).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12.</w:t>
            </w:r>
            <w:r w:rsidRPr="001E625B">
              <w:rPr>
                <w:rFonts w:eastAsia="Bookman Old Style" w:cstheme="minorHAnsi"/>
              </w:rPr>
              <w:t xml:space="preserve"> «Competencia por conexión de la Audiencia Provincial cuando el enjuiciamiento de uno de los delitos corresponde al Tribunal del Jurado y puede romperse la continencia de la causa». Comentario a la Sentencia del Tribunal Supremo de 18 de febrero de 1998. 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2000-1, (pp. 96 a 98).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13.</w:t>
            </w:r>
            <w:r w:rsidRPr="001E625B">
              <w:rPr>
                <w:rFonts w:eastAsia="Bookman Old Style" w:cstheme="minorHAnsi"/>
              </w:rPr>
              <w:t xml:space="preserve"> Presupuestos necesarios para la legitimidad y eficacia probatoria de las intervenciones telefónicas. Prueba derivada de prueba ilícita: conexión de antijuridicidad. Comentario a la Sentencia del Tribunal Constitucional 49/1999, de 9 de abril.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2000-2, (pp. 245 a 265).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14.</w:t>
            </w:r>
            <w:r w:rsidRPr="001E625B">
              <w:rPr>
                <w:rFonts w:eastAsia="Bookman Old Style" w:cstheme="minorHAnsi"/>
              </w:rPr>
              <w:t xml:space="preserve"> El auto que ordena el archivo de las actuaciones por no ser el hecho constitutivo de delito no produce eficacia de cosa juzgada. Comentario a la Sentencia del Tribunal Supremo de 20 de marzo de 2000.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2001-1, (p. 90).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15.</w:t>
            </w:r>
            <w:r w:rsidRPr="001E625B">
              <w:rPr>
                <w:rFonts w:eastAsia="Bookman Old Style" w:cstheme="minorHAnsi"/>
              </w:rPr>
              <w:t xml:space="preserve"> Improcedencia de la extradición incondicionada para el cumplimiento de sentencias condenatorias por delitos graves dictadas en ausencia y sin posibilidad de un posterior juicio rescisorio. Comentario a la Sentencia del Tribunal Constitucional 91/2000, de 30 de marzo.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2001-1, (pp. 111 a 113).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16.</w:t>
            </w:r>
            <w:r w:rsidRPr="001E625B">
              <w:rPr>
                <w:rFonts w:eastAsia="Bookman Old Style" w:cstheme="minorHAnsi"/>
              </w:rPr>
              <w:t xml:space="preserve"> La iniciativa probatoria </w:t>
            </w:r>
            <w:r w:rsidRPr="001E625B">
              <w:rPr>
                <w:rFonts w:eastAsia="Bookman Old Style" w:cstheme="minorHAnsi"/>
                <w:i/>
              </w:rPr>
              <w:t>ex</w:t>
            </w:r>
            <w:r w:rsidRPr="001E625B">
              <w:rPr>
                <w:rFonts w:eastAsia="Bookman Old Style" w:cstheme="minorHAnsi"/>
              </w:rPr>
              <w:t xml:space="preserve"> art. 729.2 LECrim. no tiene por qué contrariar la posición de imparcialidad del juzgador ni vulnerar el principio acusatorio. Comentario a la Sentencia del Tribunal Constitucional 188/2000,10 de julio.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 2001-3, (pp. 105 a 106).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17.</w:t>
            </w:r>
            <w:r w:rsidRPr="001E625B">
              <w:rPr>
                <w:rFonts w:eastAsia="Bookman Old Style" w:cstheme="minorHAnsi"/>
              </w:rPr>
              <w:t xml:space="preserve"> No necesidad de comprobación judicial de los indicios para acordar la intervención telefónica en el ámbito de la investigación delictual. Legitimación del Fiscal para recurrir en casación por vulneración del derecho a la tutela judicial efectiva. Comentario a la Sentencia del Tribunal Supremo de 28 de julio de 2000.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2001-4, (pp. 140 a 142).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18.</w:t>
            </w:r>
            <w:r w:rsidRPr="001E625B">
              <w:rPr>
                <w:rFonts w:eastAsia="Bookman Old Style" w:cstheme="minorHAnsi"/>
              </w:rPr>
              <w:t xml:space="preserve"> No cabe prolongación automática de la prisión provisional hasta el límite de la pena impuesta en la sentencia, si ésta es recurrida. Comentario a la Sentencia del Tribunal Constitucional 272/2000, de 13 de noviembre.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2001-5, (pp. 128 a 129).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19.</w:t>
            </w:r>
            <w:r w:rsidRPr="001E625B">
              <w:rPr>
                <w:rFonts w:eastAsia="Bookman Old Style" w:cstheme="minorHAnsi"/>
              </w:rPr>
              <w:t xml:space="preserve"> Alcance del veredicto de culpabilidad. El juicio de inferencia en los procesos ante el Tribunal del Jurado. Comentario a la Sentencia del </w:t>
            </w:r>
            <w:r w:rsidRPr="001E625B">
              <w:rPr>
                <w:rFonts w:eastAsia="Bookman Old Style" w:cstheme="minorHAnsi"/>
              </w:rPr>
              <w:lastRenderedPageBreak/>
              <w:t xml:space="preserve">Tribunal Supremo de 26 de julio de 2000.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2001-8/9, (pp. 104 a 106).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20.</w:t>
            </w:r>
            <w:r w:rsidRPr="001E625B">
              <w:rPr>
                <w:rFonts w:eastAsia="Bookman Old Style" w:cstheme="minorHAnsi"/>
              </w:rPr>
              <w:t xml:space="preserve"> Pendencia de recurso contencioso­administrativo de cuya decisión depende la integración en la conducta enjuiciada de un delito de intrusismo. Una más que dudosa cuestión prejudicial. Comentario a la Sentencia del Tribunal Constitucional 255/2000, de 30 de octubre. </w:t>
            </w:r>
            <w:r w:rsidRPr="001E625B">
              <w:rPr>
                <w:rFonts w:eastAsia="Bookman Old Style" w:cstheme="minorHAnsi"/>
                <w:i/>
              </w:rPr>
              <w:t>Tribunales de Justicia,</w:t>
            </w:r>
            <w:r w:rsidRPr="001E625B">
              <w:rPr>
                <w:rFonts w:eastAsia="Bookman Old Style" w:cstheme="minorHAnsi"/>
              </w:rPr>
              <w:t xml:space="preserve"> 2001-10, (pp. 109 a 111).</w:t>
            </w:r>
            <w:r w:rsidRPr="001E625B">
              <w:rPr>
                <w:rFonts w:eastAsia="Bookman Old Style" w:cstheme="minorHAnsi"/>
                <w:b/>
                <w:i/>
              </w:rPr>
              <w:t xml:space="preserve">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21.</w:t>
            </w:r>
            <w:r w:rsidRPr="001E625B">
              <w:rPr>
                <w:rFonts w:eastAsia="Bookman Old Style" w:cstheme="minorHAnsi"/>
              </w:rPr>
              <w:t xml:space="preserve"> Irregular citación a juicio de faltas realizada por correo certificado cuyo acuse de recibo fue firmado por persona distinta del imputado. Contenido mínimo de la cédula de citación. Comentario a la Sentencia de la Audiencia Provincial de Córdoba de 6 de noviembre de 2000.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2002-1, (pp.113 a 114).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22.</w:t>
            </w:r>
            <w:r w:rsidRPr="001E625B">
              <w:rPr>
                <w:rFonts w:eastAsia="Bookman Old Style" w:cstheme="minorHAnsi"/>
              </w:rPr>
              <w:t xml:space="preserve"> La prueba sobre el derecho extranjero: ¿</w:t>
            </w:r>
            <w:r w:rsidRPr="001E625B">
              <w:rPr>
                <w:rFonts w:eastAsia="Bookman Old Style" w:cstheme="minorHAnsi"/>
                <w:i/>
              </w:rPr>
              <w:t>quaestio iuris</w:t>
            </w:r>
            <w:r w:rsidRPr="001E625B">
              <w:rPr>
                <w:rFonts w:eastAsia="Bookman Old Style" w:cstheme="minorHAnsi"/>
              </w:rPr>
              <w:t xml:space="preserve"> o </w:t>
            </w:r>
            <w:r w:rsidRPr="001E625B">
              <w:rPr>
                <w:rFonts w:eastAsia="Bookman Old Style" w:cstheme="minorHAnsi"/>
                <w:i/>
              </w:rPr>
              <w:t>quaestio facti</w:t>
            </w:r>
            <w:r w:rsidRPr="001E625B">
              <w:rPr>
                <w:rFonts w:eastAsia="Bookman Old Style" w:cstheme="minorHAnsi"/>
              </w:rPr>
              <w:t xml:space="preserve">?. Comentario a la Sentencia de la Audiencia Provincial de Girona de 19 de mayo de 2000.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2002-4, (pp. 53 a 55).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23.</w:t>
            </w:r>
            <w:r w:rsidRPr="001E625B">
              <w:rPr>
                <w:rFonts w:eastAsia="Bookman Old Style" w:cstheme="minorHAnsi"/>
              </w:rPr>
              <w:t xml:space="preserve"> Mayoría precisa para tener por probados (y no probados) hechos desfavorables al acusado. Comentario a la Sentencia del Tribunal Superior de Justicia de Madrid de 7 de diciembre de 2000.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2002-4, (pp. 81 a 83).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24.</w:t>
            </w:r>
            <w:r w:rsidRPr="001E625B">
              <w:rPr>
                <w:rFonts w:eastAsia="Bookman Old Style" w:cstheme="minorHAnsi"/>
              </w:rPr>
              <w:t xml:space="preserve"> Vulneración del derecho a un Juez imparcial si quien dicta auto de apertura del juicio oral pasa a integrar posteriormente el tribunal juzgador. Comentario a la Sentencia del Tribunal Constitucional 310/2000, de 18 de diciembre.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2002-4, (pp. 94 a 96).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25.</w:t>
            </w:r>
            <w:r w:rsidRPr="001E625B">
              <w:rPr>
                <w:rFonts w:eastAsia="Bookman Old Style" w:cstheme="minorHAnsi"/>
              </w:rPr>
              <w:t xml:space="preserve"> Derecho al Juez imparcial en el juicio de faltas. No vulneración si el Juez que conoció del juicio de faltas se limitó a recibir declaración por esos mismos hechos en fase de diligencias previas. Comentario a la Sentencia del Tribunal Constitucional 55/2001, de 26 de febrero.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2002-4, (pp. 100 a 101).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26.</w:t>
            </w:r>
            <w:r w:rsidRPr="001E625B">
              <w:rPr>
                <w:rFonts w:eastAsia="Bookman Old Style" w:cstheme="minorHAnsi"/>
              </w:rPr>
              <w:t xml:space="preserve"> ¿Deben las Sentencias civiles contener un apartado específico de «hechos probados» y cita expresa de las normas jurídicas aplicables? Comentario a la Sentencia del Tribunal Supremo 29 de diciembre de 2000.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2002-6, (pp. 72 a 74)</w:t>
            </w:r>
            <w:r w:rsidRPr="001E625B">
              <w:rPr>
                <w:rFonts w:eastAsia="Bookman Old Style" w:cstheme="minorHAnsi"/>
                <w:b/>
                <w:i/>
              </w:rPr>
              <w:t>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27.</w:t>
            </w:r>
            <w:r w:rsidRPr="001E625B">
              <w:rPr>
                <w:rFonts w:eastAsia="Bookman Old Style" w:cstheme="minorHAnsi"/>
              </w:rPr>
              <w:t xml:space="preserve"> La persecución de los delitos de calumnia e injuria con publicidad exige querella, siendo insuficiente la denuncia. Intervención del Fiscal en recurso de casación interpuesto frente a sentencia dictada en procesos por delito privado. Comentario a la Sentencia del Tribunal Supremo de 27 de enero de 2001.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2002-6, (pp. 85 a 86).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28.</w:t>
            </w:r>
            <w:r w:rsidRPr="001E625B">
              <w:rPr>
                <w:rFonts w:eastAsia="Bookman Old Style" w:cstheme="minorHAnsi"/>
              </w:rPr>
              <w:t xml:space="preserve"> Peculiar contenido de la acción civil ejercitada en proceso por delito de alzamiento laboral. Modificación en conclusiones definitivas de la petición </w:t>
            </w:r>
            <w:r w:rsidRPr="001E625B">
              <w:rPr>
                <w:rFonts w:eastAsia="Bookman Old Style" w:cstheme="minorHAnsi"/>
              </w:rPr>
              <w:lastRenderedPageBreak/>
              <w:t>civil realizada en conclusiones provisionales. Comentario a la Sentencia del Tribunal Supremo 28 de febrero de 2001.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2002-7, (pp. 97 a 99).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29.</w:t>
            </w:r>
            <w:r w:rsidRPr="001E625B">
              <w:rPr>
                <w:rFonts w:eastAsia="Bookman Old Style" w:cstheme="minorHAnsi"/>
              </w:rPr>
              <w:t xml:space="preserve"> Incidencia del cacheo sobre los derechos fundamentales. Validez de la actuación policial sobre la base de confidencias anónimas. Comentario a la Sentencia del Tribunal Supremo de 9 de mayo de 2001.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2002-7, (pp. 111 a 113).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30.</w:t>
            </w:r>
            <w:r w:rsidRPr="001E625B">
              <w:rPr>
                <w:rFonts w:eastAsia="Bookman Old Style" w:cstheme="minorHAnsi"/>
              </w:rPr>
              <w:t xml:space="preserve"> La Justicia Penal ante la víctima de abusos sexuales menor de edad. ¿Defensor o verdugo? Comentario a la Sentencia del Tribunal Supremo 6 de julio de 2001.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2002- 8/9, (pp. 98 a 101).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31.</w:t>
            </w:r>
            <w:r w:rsidRPr="001E625B">
              <w:rPr>
                <w:rFonts w:eastAsia="Bookman Old Style" w:cstheme="minorHAnsi"/>
              </w:rPr>
              <w:t xml:space="preserve"> Devolución de la fianza prestada para ejecución provisional de sentencia despachada conforme a la antigua Ley. Comentario al Auto de la Audiencia Provincial de Burgos de 29 de noviembre de 2001.</w:t>
            </w:r>
            <w:r w:rsidRPr="001E625B">
              <w:rPr>
                <w:rFonts w:eastAsia="Bookman Old Style" w:cstheme="minorHAnsi"/>
                <w:i/>
              </w:rPr>
              <w:t xml:space="preserve"> Tribunales de Justicia</w:t>
            </w:r>
            <w:r w:rsidRPr="001E625B">
              <w:rPr>
                <w:rFonts w:eastAsia="Bookman Old Style" w:cstheme="minorHAnsi"/>
              </w:rPr>
              <w:t xml:space="preserve">, 2002-10, (pp. 85 a 86).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32.</w:t>
            </w:r>
            <w:r w:rsidRPr="001E625B">
              <w:rPr>
                <w:rFonts w:eastAsia="Bookman Old Style" w:cstheme="minorHAnsi"/>
              </w:rPr>
              <w:t xml:space="preserve"> Imposibilidad de ejecutar los pronunciamientos civiles de la sentencia penal revisada por despenalización de la conducta delictiva. Comentario a la Sentencia del Tribunal Constitucional 135/2001, de 18 de junio.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2002-10, (pp. 105 a 106).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33.</w:t>
            </w:r>
            <w:r w:rsidRPr="001E625B">
              <w:rPr>
                <w:rFonts w:eastAsia="Bookman Old Style" w:cstheme="minorHAnsi"/>
              </w:rPr>
              <w:t xml:space="preserve"> Prescripción delictiva: tratamiento procesal y actuaciones interruptivas de la prescripción. Comentario a la Sentencia del Tribunal Supremo de 14 de noviembre de 2001.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2002-10, (pp. 115 a 118).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34.</w:t>
            </w:r>
            <w:r w:rsidRPr="001E625B">
              <w:rPr>
                <w:rFonts w:eastAsia="Bookman Old Style" w:cstheme="minorHAnsi"/>
              </w:rPr>
              <w:t xml:space="preserve"> El recurso efectivo frente a la violación del derecho al doble grado jurisdiccional penal. Comentario a la Sentencia del Tribunal Supremo de 14 de diciembre de 2001.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2002</w:t>
            </w:r>
            <w:r w:rsidRPr="001E625B">
              <w:rPr>
                <w:rFonts w:eastAsia="Bookman Old Style" w:cstheme="minorHAnsi"/>
                <w:i/>
              </w:rPr>
              <w:t>-</w:t>
            </w:r>
            <w:r w:rsidRPr="001E625B">
              <w:rPr>
                <w:rFonts w:eastAsia="Bookman Old Style" w:cstheme="minorHAnsi"/>
              </w:rPr>
              <w:t>11, (pp. 82 a 84).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35</w:t>
            </w:r>
            <w:r w:rsidRPr="001E625B">
              <w:rPr>
                <w:rFonts w:eastAsia="Bookman Old Style" w:cstheme="minorHAnsi"/>
              </w:rPr>
              <w:t xml:space="preserve">. ¿Puede el Tribunal desvincularse de la conformidad si entiende que la calificación de los hechos es más grave que la consensuada? Comentario a la Sentencia de la Audiencia Provincial de Madrid 4 de marzo de 2002.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2002-12, (pp. 100 a 102).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36.</w:t>
            </w:r>
            <w:r w:rsidRPr="001E625B">
              <w:rPr>
                <w:rFonts w:eastAsia="Bookman Old Style" w:cstheme="minorHAnsi"/>
              </w:rPr>
              <w:t xml:space="preserve"> ¿Son provisionalmente ejecutables los pronunciamientos sobre guarda y custodia recaídos en un proceso de separación matrimonial? Comentario al Auto de la Audiencia Provincial de Málaga de 9 de octubre de 2002.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>, 2003-11, (pp. 88-91).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37.</w:t>
            </w:r>
            <w:r w:rsidRPr="001E625B">
              <w:rPr>
                <w:rFonts w:eastAsia="Bookman Old Style" w:cstheme="minorHAnsi"/>
              </w:rPr>
              <w:t xml:space="preserve"> Para que la entrada y registro domiciliarios se consideren constitucionalmente legítimos ¿es necesario el consentimiento del sujeto investigado o basta con el del cotitular del domicilio? Eficacia probatoria de la prueba obtenida con vulneración directa de un derecho fundamental. Comentario a la STC  22/2003, de 10 de febrero.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2003-12, (pp. 128-130).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lastRenderedPageBreak/>
              <w:t>38.</w:t>
            </w:r>
            <w:r w:rsidRPr="001E625B">
              <w:rPr>
                <w:rFonts w:eastAsia="Bookman Old Style" w:cstheme="minorHAnsi"/>
              </w:rPr>
              <w:t xml:space="preserve"> El litisconsorcio necesario en el Arbitraje. Comentario a la Sentencia de la Audiencia Provincial de Barcelona de 27 de marzo de 2008, y a la Sentencia de la Audiencia Provincial de Madrid de 16 de enero de 2008. </w:t>
            </w:r>
            <w:r w:rsidRPr="001E625B">
              <w:rPr>
                <w:rFonts w:eastAsia="Bookman Old Style" w:cstheme="minorHAnsi"/>
                <w:i/>
              </w:rPr>
              <w:t>Arbitraje: Revista de arbitraje comercial y de inversiones</w:t>
            </w:r>
            <w:r w:rsidRPr="001E625B">
              <w:rPr>
                <w:rFonts w:eastAsia="Bookman Old Style" w:cstheme="minorHAnsi"/>
              </w:rPr>
              <w:t>, 2009 (pp. 230 a 232).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39.</w:t>
            </w:r>
            <w:r w:rsidRPr="001E625B">
              <w:rPr>
                <w:rFonts w:eastAsia="Bookman Old Style" w:cstheme="minorHAnsi"/>
              </w:rPr>
              <w:t xml:space="preserve"> Articulación procesal de acciones individuales y colectivas en defensa de los consumidores a la luz del Derecho de la Unión, </w:t>
            </w:r>
            <w:r w:rsidRPr="001E625B">
              <w:rPr>
                <w:rFonts w:eastAsia="Bookman Old Style" w:cstheme="minorHAnsi"/>
                <w:i/>
              </w:rPr>
              <w:t>Revista Española de Derecho Europeo</w:t>
            </w:r>
            <w:r w:rsidRPr="001E625B">
              <w:rPr>
                <w:rFonts w:eastAsia="Bookman Old Style" w:cstheme="minorHAnsi"/>
              </w:rPr>
              <w:t>, núm. 63, 2017 (pp. 111 a 127).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</w:rPr>
            </w:pPr>
          </w:p>
          <w:p w:rsidR="001E625B" w:rsidRPr="001E625B" w:rsidRDefault="001E625B" w:rsidP="001E625B">
            <w:pPr>
              <w:pStyle w:val="Ttulo3"/>
              <w:outlineLvl w:val="2"/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</w:pPr>
            <w:bookmarkStart w:id="29" w:name="_43ky6rz" w:colFirst="0" w:colLast="0"/>
            <w:bookmarkEnd w:id="29"/>
            <w:r w:rsidRPr="001E625B">
              <w:rPr>
                <w:rFonts w:asciiTheme="minorHAnsi" w:eastAsia="Bookman Old Style" w:hAnsiTheme="minorHAnsi" w:cstheme="minorHAnsi"/>
                <w:b/>
                <w:color w:val="000000"/>
                <w:sz w:val="22"/>
                <w:szCs w:val="22"/>
              </w:rPr>
              <w:t>2.1.6. RECENSIONES Y PRÓLOGOS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  <w:b/>
              </w:rPr>
              <w:t>1.</w:t>
            </w:r>
            <w:r w:rsidRPr="001E625B">
              <w:rPr>
                <w:rFonts w:eastAsia="Bookman Old Style" w:cstheme="minorHAnsi"/>
              </w:rPr>
              <w:t xml:space="preserve"> Recensión de la obra colectiva </w:t>
            </w:r>
            <w:r w:rsidRPr="001E625B">
              <w:rPr>
                <w:rFonts w:eastAsia="Bookman Old Style" w:cstheme="minorHAnsi"/>
                <w:i/>
              </w:rPr>
              <w:t>Comentarios a la Ley Orgánica del Tribunal Constitucional</w:t>
            </w:r>
            <w:r w:rsidRPr="001E625B">
              <w:rPr>
                <w:rFonts w:eastAsia="Bookman Old Style" w:cstheme="minorHAnsi"/>
              </w:rPr>
              <w:t xml:space="preserve"> (Coord. Requejo Pagés), Tribunal Constitucional y Boletín Oficial del Estado, Madrid, 2001. </w:t>
            </w:r>
            <w:r w:rsidRPr="001E625B">
              <w:rPr>
                <w:rFonts w:eastAsia="Bookman Old Style" w:cstheme="minorHAnsi"/>
                <w:i/>
              </w:rPr>
              <w:t>Tribunales de Justicia</w:t>
            </w:r>
            <w:r w:rsidRPr="001E625B">
              <w:rPr>
                <w:rFonts w:eastAsia="Bookman Old Style" w:cstheme="minorHAnsi"/>
              </w:rPr>
              <w:t xml:space="preserve">, 2002­1, (pp. 120 a 122).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2.</w:t>
            </w:r>
            <w:r w:rsidRPr="001E625B">
              <w:rPr>
                <w:rFonts w:eastAsia="Bookman Old Style" w:cstheme="minorHAnsi"/>
              </w:rPr>
              <w:t xml:space="preserve"> Recensión a la obra de L. A. Cucarella Galiana: </w:t>
            </w:r>
            <w:r w:rsidRPr="001E625B">
              <w:rPr>
                <w:rFonts w:eastAsia="Bookman Old Style" w:cstheme="minorHAnsi"/>
                <w:i/>
              </w:rPr>
              <w:t>El procedimiento arbitral (Ley 60/2003, 23 de diciembre, de arbitraje)</w:t>
            </w:r>
            <w:r w:rsidRPr="001E625B">
              <w:rPr>
                <w:rFonts w:eastAsia="Bookman Old Style" w:cstheme="minorHAnsi"/>
              </w:rPr>
              <w:t xml:space="preserve">. Estudia Albornotiana, Publicaciones del Real Colegio de España, Bolonia, 2005. Revista </w:t>
            </w:r>
            <w:r w:rsidRPr="001E625B">
              <w:rPr>
                <w:rFonts w:eastAsia="Bookman Old Style" w:cstheme="minorHAnsi"/>
                <w:i/>
              </w:rPr>
              <w:t>Anuario de Derecho Civil</w:t>
            </w:r>
            <w:r w:rsidRPr="001E625B">
              <w:rPr>
                <w:rFonts w:eastAsia="Bookman Old Style" w:cstheme="minorHAnsi"/>
              </w:rPr>
              <w:t>, Enero-marzo 2005, (pp. 309 a 319).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3.</w:t>
            </w:r>
            <w:r w:rsidRPr="001E625B">
              <w:rPr>
                <w:rFonts w:eastAsia="Bookman Old Style" w:cstheme="minorHAnsi"/>
              </w:rPr>
              <w:t xml:space="preserve"> Recensión a la obra de V. Pardo Iranzo: </w:t>
            </w:r>
            <w:r w:rsidRPr="001E625B">
              <w:rPr>
                <w:rFonts w:eastAsia="Bookman Old Style" w:cstheme="minorHAnsi"/>
                <w:i/>
              </w:rPr>
              <w:t>La prueba documental en el proceso penal</w:t>
            </w:r>
            <w:r w:rsidRPr="001E625B">
              <w:rPr>
                <w:rFonts w:eastAsia="Bookman Old Style" w:cstheme="minorHAnsi"/>
              </w:rPr>
              <w:t xml:space="preserve">. Ed. Tirant lo blanch, Valencia, 2008. </w:t>
            </w:r>
            <w:r w:rsidRPr="001E625B">
              <w:rPr>
                <w:rFonts w:eastAsia="Bookman Old Style" w:cstheme="minorHAnsi"/>
                <w:i/>
              </w:rPr>
              <w:t>Revista Derecho Procesal</w:t>
            </w:r>
            <w:r w:rsidRPr="001E625B">
              <w:rPr>
                <w:rFonts w:eastAsia="Bookman Old Style" w:cstheme="minorHAnsi"/>
              </w:rPr>
              <w:t>, 2008 (pp. 674 a 676).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4.</w:t>
            </w:r>
            <w:r w:rsidRPr="001E625B">
              <w:rPr>
                <w:rFonts w:eastAsia="Bookman Old Style" w:cstheme="minorHAnsi"/>
              </w:rPr>
              <w:t xml:space="preserve"> Recensión a la obra de F. Gascón Inchausti: </w:t>
            </w:r>
            <w:r w:rsidRPr="001E625B">
              <w:rPr>
                <w:rFonts w:eastAsia="Bookman Old Style" w:cstheme="minorHAnsi"/>
                <w:i/>
              </w:rPr>
              <w:t>El decomiso transfronterizo de bienes</w:t>
            </w:r>
            <w:r w:rsidRPr="001E625B">
              <w:rPr>
                <w:rFonts w:eastAsia="Bookman Old Style" w:cstheme="minorHAnsi"/>
              </w:rPr>
              <w:t xml:space="preserve">. Ed. Colex. Madrid, 2007. </w:t>
            </w:r>
            <w:r w:rsidRPr="001E625B">
              <w:rPr>
                <w:rFonts w:eastAsia="Bookman Old Style" w:cstheme="minorHAnsi"/>
                <w:i/>
              </w:rPr>
              <w:t>Revista Derecho Procesal</w:t>
            </w:r>
            <w:r w:rsidRPr="001E625B">
              <w:rPr>
                <w:rFonts w:eastAsia="Bookman Old Style" w:cstheme="minorHAnsi"/>
              </w:rPr>
              <w:t>, 2008 (pp. 669 a 673).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5.</w:t>
            </w:r>
            <w:r w:rsidRPr="001E625B">
              <w:rPr>
                <w:rFonts w:eastAsia="Bookman Old Style" w:cstheme="minorHAnsi"/>
              </w:rPr>
              <w:t xml:space="preserve"> Recensión a la obra de I.J. Cubillo López, </w:t>
            </w:r>
            <w:r w:rsidRPr="001E625B">
              <w:rPr>
                <w:rFonts w:eastAsia="Bookman Old Style" w:cstheme="minorHAnsi"/>
                <w:i/>
              </w:rPr>
              <w:t>La protección de testigos en el proceso penal</w:t>
            </w:r>
            <w:r w:rsidRPr="001E625B">
              <w:rPr>
                <w:rFonts w:eastAsia="Bookman Old Style" w:cstheme="minorHAnsi"/>
              </w:rPr>
              <w:t>. Ed. Civitas-Thomson Reuters, Madrid, 2009.</w:t>
            </w:r>
            <w:r w:rsidRPr="001E625B">
              <w:rPr>
                <w:rFonts w:eastAsia="Bookman Old Style" w:cstheme="minorHAnsi"/>
                <w:i/>
              </w:rPr>
              <w:t xml:space="preserve"> Revista Derecho Procesal </w:t>
            </w:r>
            <w:r w:rsidRPr="001E625B">
              <w:rPr>
                <w:rFonts w:eastAsia="Bookman Old Style" w:cstheme="minorHAnsi"/>
              </w:rPr>
              <w:t>,2009</w:t>
            </w:r>
            <w:r w:rsidRPr="001E625B">
              <w:rPr>
                <w:rFonts w:eastAsia="Bookman Old Style" w:cstheme="minorHAnsi"/>
                <w:i/>
              </w:rPr>
              <w:t xml:space="preserve"> (</w:t>
            </w:r>
            <w:r w:rsidRPr="001E625B">
              <w:rPr>
                <w:rFonts w:eastAsia="Bookman Old Style" w:cstheme="minorHAnsi"/>
              </w:rPr>
              <w:t>pp. 1188 y 1189).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6.</w:t>
            </w:r>
            <w:r w:rsidRPr="001E625B">
              <w:rPr>
                <w:rFonts w:eastAsia="Bookman Old Style" w:cstheme="minorHAnsi"/>
              </w:rPr>
              <w:t xml:space="preserve"> Recensión a la obra de M. Cedeño Hernán, </w:t>
            </w:r>
            <w:r w:rsidRPr="001E625B">
              <w:rPr>
                <w:rFonts w:eastAsia="Bookman Old Style" w:cstheme="minorHAnsi"/>
                <w:i/>
              </w:rPr>
              <w:t>La orden de detención y entrega europea: los motivos de denegación y condicionamiento de la entrega</w:t>
            </w:r>
            <w:r w:rsidRPr="001E625B">
              <w:rPr>
                <w:rFonts w:eastAsia="Bookman Old Style" w:cstheme="minorHAnsi"/>
              </w:rPr>
              <w:t xml:space="preserve">. Ed. Thomson-Civitas, Cizur Menor, 2010. </w:t>
            </w:r>
            <w:r w:rsidRPr="001E625B">
              <w:rPr>
                <w:rFonts w:eastAsia="Bookman Old Style" w:cstheme="minorHAnsi"/>
                <w:i/>
              </w:rPr>
              <w:t>Boletín del Ministerio de Justicia</w:t>
            </w:r>
            <w:r w:rsidRPr="001E625B">
              <w:rPr>
                <w:rFonts w:eastAsia="Bookman Old Style" w:cstheme="minorHAnsi"/>
              </w:rPr>
              <w:t>, número 2131, de mayo 2011, (pp. 1 a 2).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7.</w:t>
            </w:r>
            <w:r w:rsidRPr="001E625B">
              <w:rPr>
                <w:rFonts w:eastAsia="Bookman Old Style" w:cstheme="minorHAnsi"/>
              </w:rPr>
              <w:t xml:space="preserve"> Recensión a la obra </w:t>
            </w:r>
            <w:r w:rsidRPr="001E625B">
              <w:rPr>
                <w:rFonts w:eastAsia="Bookman Old Style" w:cstheme="minorHAnsi"/>
                <w:i/>
              </w:rPr>
              <w:t>El proceso penal en la Sociedad de la Información. Las nuevas tecnologías para investigar y probar el delito (Coord. Julio Pérez Gil)</w:t>
            </w:r>
            <w:r w:rsidRPr="001E625B">
              <w:rPr>
                <w:rFonts w:eastAsia="Bookman Old Style" w:cstheme="minorHAnsi"/>
              </w:rPr>
              <w:t xml:space="preserve">. Ed. La Ley, Madrid 2012, </w:t>
            </w:r>
            <w:r w:rsidRPr="001E625B">
              <w:rPr>
                <w:rFonts w:eastAsia="Bookman Old Style" w:cstheme="minorHAnsi"/>
                <w:i/>
              </w:rPr>
              <w:t>Boletín del Ministerio de Justicia</w:t>
            </w:r>
            <w:r w:rsidRPr="001E625B">
              <w:rPr>
                <w:rFonts w:eastAsia="Bookman Old Style" w:cstheme="minorHAnsi"/>
              </w:rPr>
              <w:t>, núm. 2146, septiembre 2012. (pp. 1 a 3).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8.</w:t>
            </w:r>
            <w:r w:rsidRPr="001E625B">
              <w:rPr>
                <w:rFonts w:eastAsia="Bookman Old Style" w:cstheme="minorHAnsi"/>
              </w:rPr>
              <w:t xml:space="preserve"> Recensión a la obra de J. Gil Plana, </w:t>
            </w:r>
            <w:r w:rsidRPr="001E625B">
              <w:rPr>
                <w:rFonts w:eastAsia="Bookman Old Style" w:cstheme="minorHAnsi"/>
                <w:i/>
              </w:rPr>
              <w:t>La prueba en el Proceso Laboral. Naturaleza y Evolución</w:t>
            </w:r>
            <w:r w:rsidRPr="001E625B">
              <w:rPr>
                <w:rFonts w:eastAsia="Bookman Old Style" w:cstheme="minorHAnsi"/>
              </w:rPr>
              <w:t xml:space="preserve">. Ed. Thomson Reuters Aranzadi, Cizur Menor (Navarra), 2017. </w:t>
            </w:r>
            <w:r w:rsidRPr="001E625B">
              <w:rPr>
                <w:rFonts w:eastAsia="Bookman Old Style" w:cstheme="minorHAnsi"/>
                <w:i/>
              </w:rPr>
              <w:t>Nueva Revista Española del Derecho del Trabajo</w:t>
            </w:r>
            <w:r w:rsidRPr="001E625B">
              <w:rPr>
                <w:rFonts w:eastAsia="Bookman Old Style" w:cstheme="minorHAnsi"/>
              </w:rPr>
              <w:t xml:space="preserve">, 2017, </w:t>
            </w:r>
            <w:r w:rsidRPr="001E625B">
              <w:rPr>
                <w:rFonts w:eastAsia="Bookman Old Style" w:cstheme="minorHAnsi"/>
              </w:rPr>
              <w:lastRenderedPageBreak/>
              <w:t>Marzo 2018, (pp. 367 a 369).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9.</w:t>
            </w:r>
            <w:r w:rsidRPr="001E625B">
              <w:rPr>
                <w:rFonts w:eastAsia="Bookman Old Style" w:cstheme="minorHAnsi"/>
              </w:rPr>
              <w:t xml:space="preserve"> Prólogo a la obra de A. Vidal Herrero </w:t>
            </w:r>
            <w:r w:rsidRPr="001E625B">
              <w:rPr>
                <w:rFonts w:eastAsia="Bookman Old Style" w:cstheme="minorHAnsi"/>
                <w:i/>
              </w:rPr>
              <w:t>La apelación “adhesiva” penal</w:t>
            </w:r>
            <w:r w:rsidRPr="001E625B">
              <w:rPr>
                <w:rFonts w:eastAsia="Bookman Old Style" w:cstheme="minorHAnsi"/>
              </w:rPr>
              <w:t>, Dykinson, 2019.</w:t>
            </w:r>
            <w:bookmarkStart w:id="30" w:name="_2iq8gzs" w:colFirst="0" w:colLast="0"/>
            <w:bookmarkEnd w:id="30"/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  <w:color w:val="000000"/>
              </w:rPr>
              <w:t xml:space="preserve"> VOCES DE DICCIONARIOS JURÍDICOS</w:t>
            </w:r>
          </w:p>
          <w:p w:rsidR="00574FCD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  <w:b/>
              </w:rPr>
              <w:t>1.</w:t>
            </w:r>
            <w:r w:rsidRPr="001E625B">
              <w:rPr>
                <w:rFonts w:eastAsia="Bookman Old Style" w:cstheme="minorHAnsi"/>
              </w:rPr>
              <w:t xml:space="preserve">Voces: Acusador particular (p.75); Acusador privado (p.75); Atestado (p.129); Conformidad;  Correlación entre acusación y sentencia (p. 299); Cosa juzgada penal (pp. 302 y 303); Denuncia (p. 368); Detención (p.420); Procedimiento para el enjuiciamiento rápido de determinados delitos; Proceso penal abreviado (p. 890); y Sobreseimiento (p. 1041), en </w:t>
            </w:r>
            <w:r w:rsidRPr="001E625B">
              <w:rPr>
                <w:rFonts w:eastAsia="Bookman Old Style" w:cstheme="minorHAnsi"/>
                <w:i/>
              </w:rPr>
              <w:t>Diccionario jurídico Real Academia de Jurisprudencia y Legislación</w:t>
            </w:r>
            <w:r w:rsidRPr="001E625B">
              <w:rPr>
                <w:rFonts w:eastAsia="Bookman Old Style" w:cstheme="minorHAnsi"/>
              </w:rPr>
              <w:t xml:space="preserve"> (Dir. A. Montoya Melgar), Cizur Menor (Navarra), 2016. ISBN: 978-84-9135-373-7. </w:t>
            </w:r>
          </w:p>
          <w:bookmarkEnd w:id="12"/>
          <w:p w:rsidR="001D7F79" w:rsidRPr="001E625B" w:rsidRDefault="001D7F79" w:rsidP="006E5F82">
            <w:pPr>
              <w:rPr>
                <w:rFonts w:cstheme="minorHAnsi"/>
              </w:rPr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sz w:val="20"/>
                <w:szCs w:val="20"/>
              </w:rPr>
            </w:pPr>
            <w:r>
              <w:rPr>
                <w:rFonts w:eastAsia="Bookman Old Style" w:cstheme="minorHAnsi"/>
                <w:b/>
                <w:sz w:val="20"/>
                <w:szCs w:val="20"/>
              </w:rPr>
              <w:t>UNIVERSITARIA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i/>
              </w:rPr>
            </w:pPr>
            <w:r w:rsidRPr="001E625B">
              <w:rPr>
                <w:rFonts w:eastAsia="Bookman Old Style" w:cstheme="minorHAnsi"/>
              </w:rPr>
              <w:t xml:space="preserve">— Beca de investigación y formación del profesorado concedida por la Fundación Universitaria San Pablo CEU desde Noviembre de 1993 hasta Septiembre de 1996.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bookmarkStart w:id="31" w:name="_1t3h5sf" w:colFirst="0" w:colLast="0"/>
            <w:bookmarkEnd w:id="31"/>
            <w:r w:rsidRPr="001E625B">
              <w:rPr>
                <w:rFonts w:eastAsia="Bookman Old Style" w:cstheme="minorHAnsi"/>
              </w:rPr>
              <w:t xml:space="preserve">—  Profesora Colaboradora en la Facultad de Ciencias Jurídicas y de la Administración de la Universidad San Pablo­CEU, desde el 1 de octubre de 1996 al 15 de septiembre de 1997. Régimen de dedicación parcial.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</w:rPr>
              <w:t xml:space="preserve">— Profesora Adjunta en la Facultad de Ciencias Jurídicas y de la Administración de la Universidad San Pablo­CEU, desde el 16 de septiembre de 1997 al 15 de septiembre de 1998. Régimen de dedicación a media jornada. 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bookmarkStart w:id="32" w:name="_4d34og8" w:colFirst="0" w:colLast="0"/>
            <w:bookmarkEnd w:id="32"/>
            <w:r w:rsidRPr="001E625B">
              <w:rPr>
                <w:rFonts w:eastAsia="Bookman Old Style" w:cstheme="minorHAnsi"/>
              </w:rPr>
              <w:t>— Profesora Adjunta en la Facultad de Ciencias Jurídicas y de la Administración de la Universidad San Pablo­CEU, desde el 16 de septiembre de 1998 al 7 de marzo de 2002 (en situación de excedencia forzosa desde el 27 de noviembre de 2001 al 7 de marzo de 2002). Régimen de dedicación a tiempo completo.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r w:rsidRPr="001E625B">
              <w:rPr>
                <w:rFonts w:eastAsia="Bookman Old Style" w:cstheme="minorHAnsi"/>
              </w:rPr>
              <w:t>— Profesora Asociada (tipo2) en la Facultad de Derecho de la Universidad Complutense, desde el 8 de marzo de 2002 al 30 de septiembre de 2002 (en situación de excedencia forzosa desde el 8 de marzo de 2002 a 11 de julio de 2002). Régimen de dedicación a tiempo completo.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i/>
              </w:rPr>
            </w:pPr>
            <w:bookmarkStart w:id="33" w:name="_2s8eyo1" w:colFirst="0" w:colLast="0"/>
            <w:bookmarkEnd w:id="33"/>
            <w:r w:rsidRPr="001E625B">
              <w:rPr>
                <w:rFonts w:eastAsia="Bookman Old Style" w:cstheme="minorHAnsi"/>
              </w:rPr>
              <w:t>— Profesora Asociada (tipo 3) en la Facultad de Derecho de la Universidad Complutense, desde el 1 de octubre de 2003 al 30 de junio de 2004. Régimen de dedicación a tiempo completo.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r w:rsidRPr="001E625B">
              <w:rPr>
                <w:rFonts w:eastAsia="Bookman Old Style" w:cstheme="minorHAnsi"/>
              </w:rPr>
              <w:t>— Profesora Contratada-Doctora en la Facultad de Derecho de la Universidad Complutense desde el 1 de julio de 2004 al 29 de enero de 2007. Régimen de dedicación a tiempo completo.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</w:rPr>
            </w:pPr>
            <w:bookmarkStart w:id="34" w:name="_17dp8vu" w:colFirst="0" w:colLast="0"/>
            <w:bookmarkEnd w:id="34"/>
            <w:r w:rsidRPr="001E625B">
              <w:rPr>
                <w:rFonts w:eastAsia="Bookman Old Style" w:cstheme="minorHAnsi"/>
              </w:rPr>
              <w:lastRenderedPageBreak/>
              <w:t>— Profesora Titular de la Facultad de Derecho de la Universidad Complutense desde el 30 de enero de 2007 a la actualidad. Régimen de dedicación a tiempo completo.</w:t>
            </w:r>
          </w:p>
          <w:p w:rsid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sz w:val="20"/>
                <w:szCs w:val="20"/>
              </w:rPr>
            </w:pPr>
            <w:r>
              <w:rPr>
                <w:rFonts w:eastAsia="Bookman Old Style" w:cstheme="minorHAnsi"/>
                <w:b/>
                <w:sz w:val="20"/>
                <w:szCs w:val="20"/>
              </w:rPr>
              <w:t>FUERA DEL AMBITO UNIVERSITARIO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sz w:val="20"/>
                <w:szCs w:val="20"/>
              </w:rPr>
            </w:pPr>
            <w:r w:rsidRPr="001E625B">
              <w:rPr>
                <w:rFonts w:eastAsia="Bookman Old Style" w:cstheme="minorHAnsi"/>
                <w:b/>
                <w:sz w:val="20"/>
                <w:szCs w:val="20"/>
              </w:rPr>
              <w:t xml:space="preserve">1. </w:t>
            </w:r>
            <w:r w:rsidRPr="001E625B">
              <w:rPr>
                <w:rFonts w:eastAsia="Bookman Old Style" w:cstheme="minorHAnsi"/>
                <w:sz w:val="20"/>
                <w:szCs w:val="20"/>
              </w:rPr>
              <w:t>Vocal asesor del Ministro de Justicia desde el 27 de noviembre de 2001 hasta el 10 de julio de 2002. Durante este período presté mi colaboración a la Sección Especial de la Comisión General de Codificación para la Reforma de un Anteproyecto de Ley de Enjuiciamiento Criminal, ayudando a la elaboración de un Borrador de Ley para el enjuiciamiento rápido e inmediato de determinados delitos y faltas, y de reforma del procedimiento abreviado; y de un Borrador de Ley Orgánica, en materia de prisión provisional (también citado en el aptdo. 2.6.1).</w:t>
            </w:r>
          </w:p>
          <w:p w:rsidR="001E625B" w:rsidRPr="001E625B" w:rsidRDefault="001E625B" w:rsidP="001E625B">
            <w:pPr>
              <w:spacing w:before="120" w:line="288" w:lineRule="auto"/>
              <w:jc w:val="both"/>
              <w:rPr>
                <w:rFonts w:eastAsia="Bookman Old Style" w:cstheme="minorHAnsi"/>
                <w:b/>
                <w:color w:val="002060"/>
                <w:sz w:val="20"/>
                <w:szCs w:val="20"/>
              </w:rPr>
            </w:pPr>
            <w:r w:rsidRPr="001E625B">
              <w:rPr>
                <w:rFonts w:eastAsia="Bookman Old Style" w:cstheme="minorHAnsi"/>
                <w:b/>
                <w:sz w:val="20"/>
                <w:szCs w:val="20"/>
              </w:rPr>
              <w:t xml:space="preserve">2. </w:t>
            </w:r>
            <w:r w:rsidRPr="001E625B">
              <w:rPr>
                <w:rFonts w:eastAsia="Bookman Old Style" w:cstheme="minorHAnsi"/>
                <w:sz w:val="20"/>
                <w:szCs w:val="20"/>
              </w:rPr>
              <w:t>Colaboración con el despacho DÍEZ-PICAZO ABOGADOS, S.L.P., contribuyendo a la elaboración de dictámenes conforme a su línea de investigación en Derecho procesal penal (también citado en el aptdo. 2.6.1).</w:t>
            </w:r>
          </w:p>
          <w:p w:rsidR="001E625B" w:rsidRPr="001E625B" w:rsidRDefault="001E625B" w:rsidP="001E625B">
            <w:pPr>
              <w:spacing w:before="120"/>
              <w:jc w:val="both"/>
              <w:rPr>
                <w:rFonts w:eastAsia="Bookman Old Style" w:cstheme="minorHAnsi"/>
                <w:sz w:val="20"/>
                <w:szCs w:val="20"/>
              </w:rPr>
            </w:pPr>
            <w:r w:rsidRPr="001E625B">
              <w:rPr>
                <w:rFonts w:eastAsia="Bookman Old Style" w:cstheme="minorHAnsi"/>
                <w:b/>
                <w:sz w:val="20"/>
                <w:szCs w:val="20"/>
              </w:rPr>
              <w:t>3.</w:t>
            </w:r>
            <w:r w:rsidRPr="001E625B">
              <w:rPr>
                <w:rFonts w:eastAsia="Bookman Old Style" w:cstheme="minorHAnsi"/>
                <w:sz w:val="20"/>
                <w:szCs w:val="20"/>
              </w:rPr>
              <w:t xml:space="preserve"> Miembro del Tribunal calificador del Cuerpo de Secretarios Judiciales. Tribunal Titular núm. 1. Orden JUS/3354/2008, de 10 de noviembre (BOE núm. 281, 21 de noviembre de 2008). </w:t>
            </w:r>
          </w:p>
          <w:p w:rsidR="001D7F79" w:rsidRPr="001E625B" w:rsidRDefault="001D7F79" w:rsidP="00C875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F2C9D" w:rsidRDefault="00EF2C9D"/>
    <w:sectPr w:rsidR="00EF2C9D" w:rsidSect="001D7F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AA" w:rsidRDefault="00E370AA" w:rsidP="001D7F79">
      <w:pPr>
        <w:spacing w:after="0" w:line="240" w:lineRule="auto"/>
      </w:pPr>
      <w:r>
        <w:separator/>
      </w:r>
    </w:p>
  </w:endnote>
  <w:endnote w:type="continuationSeparator" w:id="0">
    <w:p w:rsidR="00E370AA" w:rsidRDefault="00E370A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AA" w:rsidRDefault="00E370AA" w:rsidP="001D7F79">
      <w:pPr>
        <w:spacing w:after="0" w:line="240" w:lineRule="auto"/>
      </w:pPr>
      <w:r>
        <w:separator/>
      </w:r>
    </w:p>
  </w:footnote>
  <w:footnote w:type="continuationSeparator" w:id="0">
    <w:p w:rsidR="00E370AA" w:rsidRDefault="00E370A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2496"/>
    <w:multiLevelType w:val="multilevel"/>
    <w:tmpl w:val="A2D087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64B88"/>
    <w:rsid w:val="00191B18"/>
    <w:rsid w:val="001B272D"/>
    <w:rsid w:val="001D5804"/>
    <w:rsid w:val="001D7F79"/>
    <w:rsid w:val="001E625B"/>
    <w:rsid w:val="002726C7"/>
    <w:rsid w:val="002E0289"/>
    <w:rsid w:val="003A369F"/>
    <w:rsid w:val="004D76B6"/>
    <w:rsid w:val="00506DA3"/>
    <w:rsid w:val="0055671E"/>
    <w:rsid w:val="00574FCD"/>
    <w:rsid w:val="005B38F9"/>
    <w:rsid w:val="006A0346"/>
    <w:rsid w:val="006E5F82"/>
    <w:rsid w:val="0072020E"/>
    <w:rsid w:val="007579F8"/>
    <w:rsid w:val="00760D07"/>
    <w:rsid w:val="00780D55"/>
    <w:rsid w:val="00863858"/>
    <w:rsid w:val="00905815"/>
    <w:rsid w:val="00950942"/>
    <w:rsid w:val="00974CD4"/>
    <w:rsid w:val="00990AA2"/>
    <w:rsid w:val="00AA6974"/>
    <w:rsid w:val="00B32F6A"/>
    <w:rsid w:val="00CC3283"/>
    <w:rsid w:val="00E12336"/>
    <w:rsid w:val="00E370AA"/>
    <w:rsid w:val="00E4056B"/>
    <w:rsid w:val="00EF2C9D"/>
    <w:rsid w:val="00EF75EC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4FCD"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74FCD"/>
    <w:rPr>
      <w:rFonts w:ascii="Calibri" w:eastAsia="Calibri" w:hAnsi="Calibri" w:cs="Calibri"/>
      <w:color w:val="1F3863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2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4FCD"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574FCD"/>
    <w:rPr>
      <w:rFonts w:ascii="Calibri" w:eastAsia="Calibri" w:hAnsi="Calibri" w:cs="Calibri"/>
      <w:color w:val="1F3863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2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iopenal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rints.ucm.es/3492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chiviopenal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chiviopenal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5632</Words>
  <Characters>30982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2019-03-22T11:15:00Z</dcterms:created>
  <dcterms:modified xsi:type="dcterms:W3CDTF">2019-05-06T19:31:00Z</dcterms:modified>
</cp:coreProperties>
</file>